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5C6B4">
      <w:pPr>
        <w:pStyle w:val="2"/>
        <w:spacing w:line="282" w:lineRule="auto"/>
      </w:pPr>
    </w:p>
    <w:p w14:paraId="68AAFCC1">
      <w:pPr>
        <w:pStyle w:val="2"/>
        <w:spacing w:line="283" w:lineRule="auto"/>
      </w:pPr>
    </w:p>
    <w:p w14:paraId="712BEAFD">
      <w:pPr>
        <w:pStyle w:val="2"/>
        <w:spacing w:line="283" w:lineRule="auto"/>
      </w:pPr>
    </w:p>
    <w:p w14:paraId="2A60E911">
      <w:pPr>
        <w:pStyle w:val="2"/>
        <w:spacing w:line="283" w:lineRule="auto"/>
      </w:pPr>
    </w:p>
    <w:p w14:paraId="5EB69BBA">
      <w:pPr>
        <w:pStyle w:val="2"/>
        <w:spacing w:line="283" w:lineRule="auto"/>
      </w:pPr>
    </w:p>
    <w:p w14:paraId="7D4166BC">
      <w:pPr>
        <w:spacing w:before="77" w:line="235" w:lineRule="auto"/>
        <w:ind w:left="1909"/>
        <w:outlineLvl w:val="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pacing w:val="7"/>
          <w:sz w:val="18"/>
          <w:szCs w:val="18"/>
        </w:rPr>
        <w:t>（一）  准备工作</w:t>
      </w:r>
    </w:p>
    <w:p w14:paraId="236A4BA6">
      <w:pPr>
        <w:pStyle w:val="2"/>
        <w:spacing w:line="284" w:lineRule="auto"/>
      </w:pPr>
    </w:p>
    <w:p w14:paraId="2EA3274E">
      <w:pPr>
        <w:pStyle w:val="2"/>
        <w:spacing w:line="285" w:lineRule="auto"/>
      </w:pPr>
    </w:p>
    <w:p w14:paraId="1F7E7BCB">
      <w:pPr>
        <w:spacing w:before="77" w:line="235" w:lineRule="auto"/>
        <w:ind w:left="1860"/>
        <w:rPr>
          <w:rFonts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FF0000"/>
          <w:spacing w:val="15"/>
          <w:sz w:val="18"/>
          <w:szCs w:val="18"/>
          <w:lang w:val="en-US" w:eastAsia="zh-CN"/>
        </w:rPr>
        <w:t>1、</w:t>
      </w:r>
      <w:r>
        <w:rPr>
          <w:rFonts w:ascii="微软雅黑" w:hAnsi="微软雅黑" w:eastAsia="微软雅黑" w:cs="微软雅黑"/>
          <w:color w:val="FF0000"/>
          <w:spacing w:val="15"/>
          <w:sz w:val="18"/>
          <w:szCs w:val="18"/>
        </w:rPr>
        <w:t>清空所有抽屉</w:t>
      </w:r>
      <w:r>
        <w:rPr>
          <w:rFonts w:ascii="微软雅黑" w:hAnsi="微软雅黑" w:eastAsia="微软雅黑" w:cs="微软雅黑"/>
          <w:color w:val="FF0000"/>
          <w:spacing w:val="-27"/>
          <w:sz w:val="18"/>
          <w:szCs w:val="18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pacing w:val="-27"/>
          <w:sz w:val="18"/>
          <w:szCs w:val="18"/>
          <w:lang w:eastAsia="zh-CN"/>
        </w:rPr>
        <w:t>、</w:t>
      </w:r>
      <w:r>
        <w:rPr>
          <w:rFonts w:ascii="微软雅黑" w:hAnsi="微软雅黑" w:eastAsia="微软雅黑" w:cs="微软雅黑"/>
          <w:color w:val="FF0000"/>
          <w:spacing w:val="15"/>
          <w:sz w:val="18"/>
          <w:szCs w:val="18"/>
        </w:rPr>
        <w:t>柜子内物品并妥善保管；</w:t>
      </w:r>
    </w:p>
    <w:p w14:paraId="4973E791">
      <w:pPr>
        <w:spacing w:before="134" w:line="235" w:lineRule="auto"/>
        <w:ind w:left="1827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color w:val="FF0000"/>
          <w:spacing w:val="14"/>
          <w:sz w:val="18"/>
          <w:szCs w:val="18"/>
        </w:rPr>
        <w:t>2</w:t>
      </w:r>
      <w:r>
        <w:rPr>
          <w:rFonts w:ascii="微软雅黑" w:hAnsi="微软雅黑" w:eastAsia="微软雅黑" w:cs="微软雅黑"/>
          <w:color w:val="FF0000"/>
          <w:spacing w:val="-30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FF0000"/>
          <w:spacing w:val="14"/>
          <w:sz w:val="18"/>
          <w:szCs w:val="18"/>
        </w:rPr>
        <w:t>、</w:t>
      </w:r>
      <w:r>
        <w:rPr>
          <w:rFonts w:ascii="微软雅黑" w:hAnsi="微软雅黑" w:eastAsia="微软雅黑" w:cs="微软雅黑"/>
          <w:color w:val="FF0000"/>
          <w:spacing w:val="-32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FF0000"/>
          <w:spacing w:val="14"/>
          <w:sz w:val="18"/>
          <w:szCs w:val="18"/>
        </w:rPr>
        <w:t>做好地面</w:t>
      </w:r>
      <w:r>
        <w:rPr>
          <w:rFonts w:ascii="微软雅黑" w:hAnsi="微软雅黑" w:eastAsia="微软雅黑" w:cs="微软雅黑"/>
          <w:color w:val="FF0000"/>
          <w:spacing w:val="-27"/>
          <w:sz w:val="18"/>
          <w:szCs w:val="18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pacing w:val="-27"/>
          <w:sz w:val="18"/>
          <w:szCs w:val="18"/>
          <w:lang w:eastAsia="zh-CN"/>
        </w:rPr>
        <w:t>、</w:t>
      </w:r>
      <w:r>
        <w:rPr>
          <w:rFonts w:ascii="微软雅黑" w:hAnsi="微软雅黑" w:eastAsia="微软雅黑" w:cs="微软雅黑"/>
          <w:color w:val="FF0000"/>
          <w:spacing w:val="-32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FF0000"/>
          <w:spacing w:val="14"/>
          <w:sz w:val="18"/>
          <w:szCs w:val="18"/>
        </w:rPr>
        <w:t>柜子内外部</w:t>
      </w:r>
      <w:r>
        <w:rPr>
          <w:rFonts w:ascii="微软雅黑" w:hAnsi="微软雅黑" w:eastAsia="微软雅黑" w:cs="微软雅黑"/>
          <w:color w:val="FF0000"/>
          <w:spacing w:val="-30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FF0000"/>
          <w:spacing w:val="14"/>
          <w:sz w:val="18"/>
          <w:szCs w:val="18"/>
        </w:rPr>
        <w:t>、</w:t>
      </w:r>
      <w:r>
        <w:rPr>
          <w:rFonts w:ascii="微软雅黑" w:hAnsi="微软雅黑" w:eastAsia="微软雅黑" w:cs="微软雅黑"/>
          <w:color w:val="FF0000"/>
          <w:spacing w:val="-27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FF0000"/>
          <w:spacing w:val="14"/>
          <w:sz w:val="18"/>
          <w:szCs w:val="18"/>
        </w:rPr>
        <w:t>家具表面的细致清洁</w:t>
      </w:r>
      <w:r>
        <w:rPr>
          <w:rFonts w:hint="eastAsia" w:ascii="微软雅黑" w:hAnsi="微软雅黑" w:eastAsia="微软雅黑" w:cs="微软雅黑"/>
          <w:color w:val="FF0000"/>
          <w:spacing w:val="14"/>
          <w:sz w:val="18"/>
          <w:szCs w:val="18"/>
          <w:lang w:eastAsia="zh-CN"/>
        </w:rPr>
        <w:t>，</w:t>
      </w:r>
      <w:r>
        <w:rPr>
          <w:rFonts w:ascii="微软雅黑" w:hAnsi="微软雅黑" w:eastAsia="微软雅黑" w:cs="微软雅黑"/>
          <w:color w:val="FF0000"/>
          <w:spacing w:val="13"/>
          <w:sz w:val="18"/>
          <w:szCs w:val="18"/>
        </w:rPr>
        <w:t>确保无尘；</w:t>
      </w:r>
    </w:p>
    <w:p w14:paraId="202DF846">
      <w:pPr>
        <w:spacing w:before="81" w:line="235" w:lineRule="auto"/>
        <w:ind w:left="183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color w:val="FF0000"/>
          <w:spacing w:val="16"/>
          <w:sz w:val="18"/>
          <w:szCs w:val="18"/>
        </w:rPr>
        <w:t>3</w:t>
      </w:r>
      <w:r>
        <w:rPr>
          <w:rFonts w:ascii="微软雅黑" w:hAnsi="微软雅黑" w:eastAsia="微软雅黑" w:cs="微软雅黑"/>
          <w:color w:val="FF0000"/>
          <w:spacing w:val="-28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FF0000"/>
          <w:spacing w:val="16"/>
          <w:sz w:val="18"/>
          <w:szCs w:val="18"/>
        </w:rPr>
        <w:t>、已使用场所</w:t>
      </w:r>
      <w:r>
        <w:rPr>
          <w:rFonts w:hint="eastAsia" w:ascii="微软雅黑" w:hAnsi="微软雅黑" w:eastAsia="微软雅黑" w:cs="微软雅黑"/>
          <w:color w:val="FF0000"/>
          <w:spacing w:val="16"/>
          <w:sz w:val="18"/>
          <w:szCs w:val="18"/>
          <w:lang w:eastAsia="zh-CN"/>
        </w:rPr>
        <w:t>，</w:t>
      </w:r>
      <w:r>
        <w:rPr>
          <w:rFonts w:ascii="微软雅黑" w:hAnsi="微软雅黑" w:eastAsia="微软雅黑" w:cs="微软雅黑"/>
          <w:color w:val="FF0000"/>
          <w:spacing w:val="16"/>
          <w:sz w:val="18"/>
          <w:szCs w:val="18"/>
        </w:rPr>
        <w:t>可把所有物品清理打包放在办公桌面</w:t>
      </w:r>
      <w:r>
        <w:rPr>
          <w:rFonts w:ascii="微软雅黑" w:hAnsi="微软雅黑" w:eastAsia="微软雅黑" w:cs="微软雅黑"/>
          <w:color w:val="FF0000"/>
          <w:spacing w:val="-30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FF0000"/>
          <w:spacing w:val="15"/>
          <w:sz w:val="18"/>
          <w:szCs w:val="18"/>
        </w:rPr>
        <w:t>、</w:t>
      </w:r>
      <w:r>
        <w:rPr>
          <w:rFonts w:ascii="微软雅黑" w:hAnsi="微软雅黑" w:eastAsia="微软雅黑" w:cs="微软雅黑"/>
          <w:color w:val="FF0000"/>
          <w:spacing w:val="-30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FF0000"/>
          <w:spacing w:val="15"/>
          <w:sz w:val="18"/>
          <w:szCs w:val="18"/>
        </w:rPr>
        <w:t>大理石地面上；</w:t>
      </w:r>
    </w:p>
    <w:p w14:paraId="19920ACA">
      <w:pPr>
        <w:spacing w:before="160" w:line="236" w:lineRule="auto"/>
        <w:ind w:left="1806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color w:val="FF0000"/>
          <w:spacing w:val="19"/>
          <w:sz w:val="18"/>
          <w:szCs w:val="18"/>
        </w:rPr>
        <w:t>4</w:t>
      </w:r>
      <w:r>
        <w:rPr>
          <w:rFonts w:ascii="微软雅黑" w:hAnsi="微软雅黑" w:eastAsia="微软雅黑" w:cs="微软雅黑"/>
          <w:color w:val="FF0000"/>
          <w:spacing w:val="-8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FF0000"/>
          <w:spacing w:val="19"/>
          <w:sz w:val="18"/>
          <w:szCs w:val="18"/>
        </w:rPr>
        <w:t>、</w:t>
      </w:r>
      <w:r>
        <w:rPr>
          <w:rFonts w:ascii="微软雅黑" w:hAnsi="微软雅黑" w:eastAsia="微软雅黑" w:cs="微软雅黑"/>
          <w:color w:val="FF0000"/>
          <w:spacing w:val="-30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FF0000"/>
          <w:spacing w:val="19"/>
          <w:sz w:val="18"/>
          <w:szCs w:val="18"/>
        </w:rPr>
        <w:t>打开门窗</w:t>
      </w:r>
      <w:r>
        <w:rPr>
          <w:rFonts w:hint="eastAsia" w:ascii="微软雅黑" w:hAnsi="微软雅黑" w:eastAsia="微软雅黑" w:cs="微软雅黑"/>
          <w:color w:val="FF0000"/>
          <w:spacing w:val="19"/>
          <w:sz w:val="18"/>
          <w:szCs w:val="18"/>
          <w:lang w:eastAsia="zh-CN"/>
        </w:rPr>
        <w:t>，</w:t>
      </w:r>
      <w:r>
        <w:rPr>
          <w:rFonts w:ascii="微软雅黑" w:hAnsi="微软雅黑" w:eastAsia="微软雅黑" w:cs="微软雅黑"/>
          <w:color w:val="FF0000"/>
          <w:spacing w:val="19"/>
          <w:sz w:val="18"/>
          <w:szCs w:val="18"/>
        </w:rPr>
        <w:t>施工团队进场施工。</w:t>
      </w:r>
    </w:p>
    <w:p w14:paraId="64F08147">
      <w:pPr>
        <w:pStyle w:val="2"/>
        <w:spacing w:line="345" w:lineRule="auto"/>
      </w:pPr>
    </w:p>
    <w:p w14:paraId="72F25C8F">
      <w:pPr>
        <w:spacing w:before="77" w:line="235" w:lineRule="auto"/>
        <w:ind w:left="1909"/>
        <w:outlineLvl w:val="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pacing w:val="9"/>
          <w:sz w:val="18"/>
          <w:szCs w:val="18"/>
        </w:rPr>
        <w:t>（二）</w:t>
      </w:r>
      <w:r>
        <w:rPr>
          <w:rFonts w:ascii="微软雅黑" w:hAnsi="微软雅黑" w:eastAsia="微软雅黑" w:cs="微软雅黑"/>
          <w:b/>
          <w:bCs/>
          <w:spacing w:val="58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9"/>
          <w:sz w:val="18"/>
          <w:szCs w:val="18"/>
        </w:rPr>
        <w:t>成品保护</w:t>
      </w:r>
    </w:p>
    <w:p w14:paraId="33F5B614">
      <w:pPr>
        <w:pStyle w:val="2"/>
        <w:spacing w:line="342" w:lineRule="auto"/>
      </w:pPr>
    </w:p>
    <w:p w14:paraId="5DAF4DEC">
      <w:pPr>
        <w:spacing w:before="78" w:line="341" w:lineRule="auto"/>
        <w:ind w:left="1806" w:right="1835" w:firstLine="54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14"/>
          <w:sz w:val="18"/>
          <w:szCs w:val="18"/>
        </w:rPr>
        <w:t>1</w:t>
      </w:r>
      <w:r>
        <w:rPr>
          <w:rFonts w:ascii="微软雅黑" w:hAnsi="微软雅黑" w:eastAsia="微软雅黑" w:cs="微软雅黑"/>
          <w:spacing w:val="-24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4"/>
          <w:sz w:val="18"/>
          <w:szCs w:val="18"/>
        </w:rPr>
        <w:t>、</w:t>
      </w:r>
      <w:r>
        <w:rPr>
          <w:rFonts w:ascii="微软雅黑" w:hAnsi="微软雅黑" w:eastAsia="微软雅黑" w:cs="微软雅黑"/>
          <w:spacing w:val="-33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4"/>
          <w:sz w:val="18"/>
          <w:szCs w:val="18"/>
        </w:rPr>
        <w:t>严禁所有工作人员在未经过同意情况下，移动</w:t>
      </w:r>
      <w:r>
        <w:rPr>
          <w:rFonts w:ascii="微软雅黑" w:hAnsi="微软雅黑" w:eastAsia="微软雅黑" w:cs="微软雅黑"/>
          <w:spacing w:val="-30"/>
          <w:sz w:val="18"/>
          <w:szCs w:val="18"/>
        </w:rPr>
        <w:t xml:space="preserve"> </w:t>
      </w:r>
      <w:r>
        <w:rPr>
          <w:rFonts w:hint="eastAsia" w:ascii="微软雅黑" w:hAnsi="微软雅黑" w:eastAsia="微软雅黑" w:cs="微软雅黑"/>
          <w:spacing w:val="-30"/>
          <w:sz w:val="18"/>
          <w:szCs w:val="18"/>
          <w:lang w:eastAsia="zh-CN"/>
        </w:rPr>
        <w:t>、</w:t>
      </w:r>
      <w:r>
        <w:rPr>
          <w:rFonts w:ascii="微软雅黑" w:hAnsi="微软雅黑" w:eastAsia="微软雅黑" w:cs="微软雅黑"/>
          <w:spacing w:val="14"/>
          <w:sz w:val="18"/>
          <w:szCs w:val="18"/>
        </w:rPr>
        <w:t>使用现场无需治理的东西</w:t>
      </w:r>
      <w:r>
        <w:rPr>
          <w:rFonts w:hint="eastAsia" w:ascii="微软雅黑" w:hAnsi="微软雅黑" w:eastAsia="微软雅黑" w:cs="微软雅黑"/>
          <w:spacing w:val="14"/>
          <w:sz w:val="18"/>
          <w:szCs w:val="18"/>
          <w:lang w:eastAsia="zh-CN"/>
        </w:rPr>
        <w:t>，</w:t>
      </w:r>
      <w:r>
        <w:rPr>
          <w:rFonts w:ascii="微软雅黑" w:hAnsi="微软雅黑" w:eastAsia="微软雅黑" w:cs="微软雅黑"/>
          <w:spacing w:val="14"/>
          <w:sz w:val="18"/>
          <w:szCs w:val="18"/>
        </w:rPr>
        <w:t>如玻璃</w:t>
      </w:r>
      <w:r>
        <w:rPr>
          <w:rFonts w:ascii="微软雅黑" w:hAnsi="微软雅黑" w:eastAsia="微软雅黑" w:cs="微软雅黑"/>
          <w:spacing w:val="-30"/>
          <w:sz w:val="18"/>
          <w:szCs w:val="18"/>
        </w:rPr>
        <w:t xml:space="preserve"> </w:t>
      </w:r>
      <w:r>
        <w:rPr>
          <w:rFonts w:hint="eastAsia" w:ascii="微软雅黑" w:hAnsi="微软雅黑" w:eastAsia="微软雅黑" w:cs="微软雅黑"/>
          <w:spacing w:val="-30"/>
          <w:sz w:val="18"/>
          <w:szCs w:val="18"/>
          <w:lang w:eastAsia="zh-CN"/>
        </w:rPr>
        <w:t>、</w:t>
      </w:r>
      <w:r>
        <w:rPr>
          <w:rFonts w:ascii="微软雅黑" w:hAnsi="微软雅黑" w:eastAsia="微软雅黑" w:cs="微软雅黑"/>
          <w:spacing w:val="14"/>
          <w:sz w:val="18"/>
          <w:szCs w:val="18"/>
        </w:rPr>
        <w:t xml:space="preserve"> 电</w:t>
      </w:r>
      <w:r>
        <w:rPr>
          <w:rFonts w:ascii="微软雅黑" w:hAnsi="微软雅黑" w:eastAsia="微软雅黑" w:cs="微软雅黑"/>
          <w:spacing w:val="8"/>
          <w:sz w:val="18"/>
          <w:szCs w:val="18"/>
        </w:rPr>
        <w:t>器等。</w:t>
      </w:r>
    </w:p>
    <w:p w14:paraId="1860C494">
      <w:pPr>
        <w:spacing w:before="1" w:line="235" w:lineRule="auto"/>
        <w:ind w:left="1827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20"/>
          <w:sz w:val="18"/>
          <w:szCs w:val="18"/>
        </w:rPr>
        <w:t>2 、</w:t>
      </w:r>
      <w:r>
        <w:rPr>
          <w:rFonts w:ascii="微软雅黑" w:hAnsi="微软雅黑" w:eastAsia="微软雅黑" w:cs="微软雅黑"/>
          <w:spacing w:val="-18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20"/>
          <w:sz w:val="18"/>
          <w:szCs w:val="18"/>
        </w:rPr>
        <w:t>对所有不宜接受雾状光触媒的东西在施工前进行保护。</w:t>
      </w:r>
    </w:p>
    <w:p w14:paraId="15AF270F">
      <w:pPr>
        <w:spacing w:before="175" w:line="235" w:lineRule="auto"/>
        <w:ind w:left="183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18"/>
          <w:sz w:val="18"/>
          <w:szCs w:val="18"/>
        </w:rPr>
        <w:t>3</w:t>
      </w:r>
      <w:r>
        <w:rPr>
          <w:rFonts w:ascii="微软雅黑" w:hAnsi="微软雅黑" w:eastAsia="微软雅黑" w:cs="微软雅黑"/>
          <w:spacing w:val="-12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8"/>
          <w:sz w:val="18"/>
          <w:szCs w:val="18"/>
        </w:rPr>
        <w:t>、</w:t>
      </w:r>
      <w:r>
        <w:rPr>
          <w:rFonts w:ascii="微软雅黑" w:hAnsi="微软雅黑" w:eastAsia="微软雅黑" w:cs="微软雅黑"/>
          <w:spacing w:val="-30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8"/>
          <w:sz w:val="18"/>
          <w:szCs w:val="18"/>
        </w:rPr>
        <w:t>现场明显处挂公司施工现场统一警示牌。</w:t>
      </w:r>
    </w:p>
    <w:p w14:paraId="6C62E41C">
      <w:pPr>
        <w:spacing w:before="136" w:line="235" w:lineRule="auto"/>
        <w:ind w:left="1806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13"/>
          <w:sz w:val="18"/>
          <w:szCs w:val="18"/>
        </w:rPr>
        <w:t>4</w:t>
      </w:r>
      <w:r>
        <w:rPr>
          <w:rFonts w:ascii="微软雅黑" w:hAnsi="微软雅黑" w:eastAsia="微软雅黑" w:cs="微软雅黑"/>
          <w:spacing w:val="-16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3"/>
          <w:sz w:val="18"/>
          <w:szCs w:val="18"/>
        </w:rPr>
        <w:t>、</w:t>
      </w:r>
      <w:r>
        <w:rPr>
          <w:rFonts w:ascii="微软雅黑" w:hAnsi="微软雅黑" w:eastAsia="微软雅黑" w:cs="微软雅黑"/>
          <w:spacing w:val="-32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3"/>
          <w:sz w:val="18"/>
          <w:szCs w:val="18"/>
        </w:rPr>
        <w:t>现场贵重物品集中放置</w:t>
      </w:r>
      <w:r>
        <w:rPr>
          <w:rFonts w:hint="eastAsia" w:ascii="微软雅黑" w:hAnsi="微软雅黑" w:eastAsia="微软雅黑" w:cs="微软雅黑"/>
          <w:spacing w:val="13"/>
          <w:sz w:val="18"/>
          <w:szCs w:val="18"/>
          <w:lang w:eastAsia="zh-CN"/>
        </w:rPr>
        <w:t>，</w:t>
      </w:r>
      <w:r>
        <w:rPr>
          <w:rFonts w:ascii="微软雅黑" w:hAnsi="微软雅黑" w:eastAsia="微软雅黑" w:cs="微软雅黑"/>
          <w:spacing w:val="13"/>
          <w:sz w:val="18"/>
          <w:szCs w:val="18"/>
        </w:rPr>
        <w:t>并要关闭上锁。</w:t>
      </w:r>
    </w:p>
    <w:p w14:paraId="2D032159">
      <w:pPr>
        <w:spacing w:before="140" w:line="235" w:lineRule="auto"/>
        <w:ind w:left="184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14"/>
          <w:sz w:val="18"/>
          <w:szCs w:val="18"/>
        </w:rPr>
        <w:t>5、对已保护的成品</w:t>
      </w:r>
      <w:r>
        <w:rPr>
          <w:rFonts w:hint="eastAsia" w:ascii="微软雅黑" w:hAnsi="微软雅黑" w:eastAsia="微软雅黑" w:cs="微软雅黑"/>
          <w:spacing w:val="14"/>
          <w:sz w:val="18"/>
          <w:szCs w:val="18"/>
          <w:lang w:eastAsia="zh-CN"/>
        </w:rPr>
        <w:t>，</w:t>
      </w:r>
      <w:r>
        <w:rPr>
          <w:rFonts w:ascii="微软雅黑" w:hAnsi="微软雅黑" w:eastAsia="微软雅黑" w:cs="微软雅黑"/>
          <w:spacing w:val="14"/>
          <w:sz w:val="18"/>
          <w:szCs w:val="18"/>
        </w:rPr>
        <w:t>责任到人</w:t>
      </w:r>
      <w:r>
        <w:rPr>
          <w:rFonts w:hint="eastAsia" w:ascii="微软雅黑" w:hAnsi="微软雅黑" w:eastAsia="微软雅黑" w:cs="微软雅黑"/>
          <w:spacing w:val="14"/>
          <w:sz w:val="18"/>
          <w:szCs w:val="18"/>
          <w:lang w:eastAsia="zh-CN"/>
        </w:rPr>
        <w:t>；</w:t>
      </w:r>
      <w:r>
        <w:rPr>
          <w:rFonts w:ascii="微软雅黑" w:hAnsi="微软雅黑" w:eastAsia="微软雅黑" w:cs="微软雅黑"/>
          <w:spacing w:val="14"/>
          <w:sz w:val="18"/>
          <w:szCs w:val="18"/>
        </w:rPr>
        <w:t>看护得力的予以奖励 ，</w:t>
      </w:r>
      <w:r>
        <w:rPr>
          <w:rFonts w:ascii="微软雅黑" w:hAnsi="微软雅黑" w:eastAsia="微软雅黑" w:cs="微软雅黑"/>
          <w:spacing w:val="32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4"/>
          <w:sz w:val="18"/>
          <w:szCs w:val="18"/>
        </w:rPr>
        <w:t>看护不得力的予以处罚。</w:t>
      </w:r>
    </w:p>
    <w:p w14:paraId="7B1B6509">
      <w:pPr>
        <w:pStyle w:val="2"/>
        <w:spacing w:line="420" w:lineRule="auto"/>
      </w:pPr>
    </w:p>
    <w:p w14:paraId="0C581D6B">
      <w:pPr>
        <w:spacing w:before="78" w:line="191" w:lineRule="auto"/>
        <w:ind w:left="1853"/>
        <w:outlineLvl w:val="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pacing w:val="18"/>
          <w:sz w:val="18"/>
          <w:szCs w:val="18"/>
        </w:rPr>
        <w:t>注</w:t>
      </w:r>
      <w:r>
        <w:rPr>
          <w:rFonts w:ascii="微软雅黑" w:hAnsi="微软雅黑" w:eastAsia="微软雅黑" w:cs="微软雅黑"/>
          <w:b/>
          <w:bCs/>
          <w:spacing w:val="41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18"/>
          <w:sz w:val="18"/>
          <w:szCs w:val="18"/>
        </w:rPr>
        <w:t>：</w:t>
      </w:r>
      <w:r>
        <w:rPr>
          <w:rFonts w:ascii="微软雅黑" w:hAnsi="微软雅黑" w:eastAsia="微软雅黑" w:cs="微软雅黑"/>
          <w:b/>
          <w:bCs/>
          <w:spacing w:val="-3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18"/>
          <w:sz w:val="18"/>
          <w:szCs w:val="18"/>
        </w:rPr>
        <w:t>施工前针对室内电器进行保护膜及</w:t>
      </w:r>
      <w:r>
        <w:rPr>
          <w:rFonts w:ascii="微软雅黑" w:hAnsi="微软雅黑" w:eastAsia="微软雅黑" w:cs="微软雅黑"/>
          <w:b/>
          <w:bCs/>
          <w:spacing w:val="42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18"/>
          <w:sz w:val="18"/>
          <w:szCs w:val="18"/>
        </w:rPr>
        <w:t>美纹纸遮盖。</w:t>
      </w:r>
    </w:p>
    <w:p w14:paraId="1C7A8CC2">
      <w:pPr>
        <w:pStyle w:val="2"/>
        <w:spacing w:line="253" w:lineRule="auto"/>
      </w:pPr>
    </w:p>
    <w:p w14:paraId="68E42FBF">
      <w:pPr>
        <w:rPr>
          <w:rFonts w:ascii="微软雅黑" w:hAnsi="微软雅黑" w:eastAsia="微软雅黑" w:cs="微软雅黑"/>
          <w:b/>
          <w:bCs/>
          <w:spacing w:val="11"/>
          <w:sz w:val="18"/>
          <w:szCs w:val="18"/>
        </w:rPr>
      </w:pPr>
    </w:p>
    <w:p w14:paraId="0709F25A">
      <w:pPr>
        <w:spacing w:before="77" w:line="235" w:lineRule="auto"/>
        <w:ind w:left="1772"/>
        <w:outlineLvl w:val="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pacing w:val="11"/>
          <w:sz w:val="18"/>
          <w:szCs w:val="18"/>
        </w:rPr>
        <w:t>（三）  施工现场展示</w:t>
      </w:r>
    </w:p>
    <w:p w14:paraId="1E5DCBE3">
      <w:pPr>
        <w:spacing w:before="167"/>
        <w:ind w:left="1877"/>
        <w:outlineLvl w:val="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pacing w:val="5"/>
          <w:sz w:val="18"/>
          <w:szCs w:val="18"/>
        </w:rPr>
        <w:t>3. 1</w:t>
      </w:r>
      <w:r>
        <w:rPr>
          <w:rFonts w:ascii="微软雅黑" w:hAnsi="微软雅黑" w:eastAsia="微软雅黑" w:cs="微软雅黑"/>
          <w:b/>
          <w:bCs/>
          <w:spacing w:val="40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5"/>
          <w:sz w:val="18"/>
          <w:szCs w:val="18"/>
        </w:rPr>
        <w:t>家具拆卸、 移位</w:t>
      </w:r>
    </w:p>
    <w:p w14:paraId="085E908C">
      <w:pPr>
        <w:pStyle w:val="2"/>
        <w:spacing w:line="341" w:lineRule="auto"/>
      </w:pPr>
    </w:p>
    <w:p w14:paraId="00BEE493">
      <w:pPr>
        <w:spacing w:before="77" w:line="202" w:lineRule="auto"/>
        <w:ind w:left="1808" w:right="1842" w:firstLine="310"/>
        <w:outlineLvl w:val="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color w:val="3B3838"/>
          <w:spacing w:val="20"/>
          <w:sz w:val="18"/>
          <w:szCs w:val="18"/>
        </w:rPr>
        <w:t>对所有能拆卸的抽屉</w:t>
      </w:r>
      <w:r>
        <w:rPr>
          <w:rFonts w:ascii="微软雅黑" w:hAnsi="微软雅黑" w:eastAsia="微软雅黑" w:cs="微软雅黑"/>
          <w:color w:val="3B3838"/>
          <w:spacing w:val="44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20"/>
          <w:sz w:val="18"/>
          <w:szCs w:val="18"/>
        </w:rPr>
        <w:t>、 面板进行拆卸并做好标记</w:t>
      </w:r>
      <w:r>
        <w:rPr>
          <w:rFonts w:ascii="微软雅黑" w:hAnsi="微软雅黑" w:eastAsia="微软雅黑" w:cs="微软雅黑"/>
          <w:color w:val="3B3838"/>
          <w:spacing w:val="30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20"/>
          <w:sz w:val="18"/>
          <w:szCs w:val="18"/>
        </w:rPr>
        <w:t>，</w:t>
      </w:r>
      <w:r>
        <w:rPr>
          <w:rFonts w:ascii="微软雅黑" w:hAnsi="微软雅黑" w:eastAsia="微软雅黑" w:cs="微软雅黑"/>
          <w:color w:val="3B3838"/>
          <w:spacing w:val="39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20"/>
          <w:sz w:val="18"/>
          <w:szCs w:val="18"/>
        </w:rPr>
        <w:t>便于对截面和死角部位</w:t>
      </w:r>
      <w:r>
        <w:rPr>
          <w:rFonts w:ascii="微软雅黑" w:hAnsi="微软雅黑" w:eastAsia="微软雅黑" w:cs="微软雅黑"/>
          <w:color w:val="3B3838"/>
          <w:spacing w:val="19"/>
          <w:sz w:val="18"/>
          <w:szCs w:val="18"/>
        </w:rPr>
        <w:t>进行更彻底的</w:t>
      </w:r>
      <w:r>
        <w:rPr>
          <w:rFonts w:ascii="微软雅黑" w:hAnsi="微软雅黑" w:eastAsia="微软雅黑" w:cs="微软雅黑"/>
          <w:color w:val="3B3838"/>
          <w:spacing w:val="8"/>
          <w:sz w:val="18"/>
          <w:szCs w:val="18"/>
        </w:rPr>
        <w:t>处理。</w:t>
      </w:r>
    </w:p>
    <w:p w14:paraId="28E03164">
      <w:pPr>
        <w:pStyle w:val="2"/>
        <w:spacing w:line="401" w:lineRule="auto"/>
      </w:pPr>
    </w:p>
    <w:p w14:paraId="766017F7">
      <w:pPr>
        <w:spacing w:before="78"/>
        <w:ind w:left="1877"/>
        <w:outlineLvl w:val="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pacing w:val="16"/>
          <w:sz w:val="18"/>
          <w:szCs w:val="18"/>
        </w:rPr>
        <w:t>3.2</w:t>
      </w:r>
      <w:r>
        <w:rPr>
          <w:rFonts w:ascii="微软雅黑" w:hAnsi="微软雅黑" w:eastAsia="微软雅黑" w:cs="微软雅黑"/>
          <w:b/>
          <w:bCs/>
          <w:spacing w:val="60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16"/>
          <w:sz w:val="18"/>
          <w:szCs w:val="18"/>
        </w:rPr>
        <w:t>全方位甲醛净化处理</w:t>
      </w:r>
    </w:p>
    <w:p w14:paraId="5B82ECD9">
      <w:pPr>
        <w:pStyle w:val="2"/>
        <w:spacing w:line="424" w:lineRule="auto"/>
      </w:pPr>
    </w:p>
    <w:p w14:paraId="40D9FBC7">
      <w:pPr>
        <w:spacing w:before="78" w:line="192" w:lineRule="auto"/>
        <w:ind w:left="2132"/>
        <w:outlineLvl w:val="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color w:val="3B3838"/>
          <w:spacing w:val="18"/>
          <w:sz w:val="18"/>
          <w:szCs w:val="18"/>
        </w:rPr>
        <w:t>用冰虫锐钛型高分子二氧化钛光触媒产品针对板材</w:t>
      </w:r>
      <w:r>
        <w:rPr>
          <w:rFonts w:ascii="微软雅黑" w:hAnsi="微软雅黑" w:eastAsia="微软雅黑" w:cs="微软雅黑"/>
          <w:color w:val="3B3838"/>
          <w:spacing w:val="-12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8"/>
          <w:sz w:val="18"/>
          <w:szCs w:val="18"/>
        </w:rPr>
        <w:t>、</w:t>
      </w:r>
      <w:r>
        <w:rPr>
          <w:rFonts w:ascii="微软雅黑" w:hAnsi="微软雅黑" w:eastAsia="微软雅黑" w:cs="微软雅黑"/>
          <w:color w:val="3B3838"/>
          <w:spacing w:val="-3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8"/>
          <w:sz w:val="18"/>
          <w:szCs w:val="18"/>
        </w:rPr>
        <w:t>地板</w:t>
      </w:r>
      <w:r>
        <w:rPr>
          <w:rFonts w:ascii="微软雅黑" w:hAnsi="微软雅黑" w:eastAsia="微软雅黑" w:cs="微软雅黑"/>
          <w:color w:val="3B3838"/>
          <w:spacing w:val="-28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8"/>
          <w:sz w:val="18"/>
          <w:szCs w:val="18"/>
        </w:rPr>
        <w:t>、</w:t>
      </w:r>
      <w:r>
        <w:rPr>
          <w:rFonts w:ascii="微软雅黑" w:hAnsi="微软雅黑" w:eastAsia="微软雅黑" w:cs="微软雅黑"/>
          <w:color w:val="3B3838"/>
          <w:spacing w:val="-30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8"/>
          <w:sz w:val="18"/>
          <w:szCs w:val="18"/>
        </w:rPr>
        <w:t>墙面</w:t>
      </w:r>
      <w:r>
        <w:rPr>
          <w:rFonts w:ascii="微软雅黑" w:hAnsi="微软雅黑" w:eastAsia="微软雅黑" w:cs="微软雅黑"/>
          <w:color w:val="3B3838"/>
          <w:spacing w:val="40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8"/>
          <w:sz w:val="18"/>
          <w:szCs w:val="18"/>
        </w:rPr>
        <w:t>、 吊顶材料表面的施工，</w:t>
      </w:r>
    </w:p>
    <w:p w14:paraId="15AEDDA0">
      <w:pPr>
        <w:spacing w:before="222" w:line="191" w:lineRule="auto"/>
        <w:ind w:left="1812"/>
      </w:pPr>
      <w:r>
        <w:rPr>
          <w:rFonts w:ascii="微软雅黑" w:hAnsi="微软雅黑" w:eastAsia="微软雅黑" w:cs="微软雅黑"/>
          <w:color w:val="3B3838"/>
          <w:spacing w:val="22"/>
          <w:sz w:val="18"/>
          <w:szCs w:val="18"/>
        </w:rPr>
        <w:t>使其在材料表面形成光触媒催化分解膜</w:t>
      </w:r>
      <w:r>
        <w:rPr>
          <w:rFonts w:ascii="微软雅黑" w:hAnsi="微软雅黑" w:eastAsia="微软雅黑" w:cs="微软雅黑"/>
          <w:color w:val="3B3838"/>
          <w:spacing w:val="35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22"/>
          <w:sz w:val="18"/>
          <w:szCs w:val="18"/>
        </w:rPr>
        <w:t>，</w:t>
      </w:r>
      <w:r>
        <w:rPr>
          <w:rFonts w:ascii="微软雅黑" w:hAnsi="微软雅黑" w:eastAsia="微软雅黑" w:cs="微软雅黑"/>
          <w:color w:val="3B3838"/>
          <w:spacing w:val="40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22"/>
          <w:sz w:val="18"/>
          <w:szCs w:val="18"/>
        </w:rPr>
        <w:t>将甲醛捕捉分解生</w:t>
      </w:r>
      <w:r>
        <w:rPr>
          <w:rFonts w:ascii="微软雅黑" w:hAnsi="微软雅黑" w:eastAsia="微软雅黑" w:cs="微软雅黑"/>
          <w:color w:val="3B3838"/>
          <w:spacing w:val="21"/>
          <w:sz w:val="18"/>
          <w:szCs w:val="18"/>
        </w:rPr>
        <w:t>成二氧化碳和水。</w:t>
      </w:r>
    </w:p>
    <w:p w14:paraId="505F0B21">
      <w:pPr>
        <w:pStyle w:val="2"/>
        <w:spacing w:line="253" w:lineRule="auto"/>
      </w:pPr>
    </w:p>
    <w:p w14:paraId="1B3B3D6C">
      <w:pPr>
        <w:pStyle w:val="2"/>
        <w:spacing w:line="253" w:lineRule="auto"/>
      </w:pPr>
    </w:p>
    <w:p w14:paraId="453231FB">
      <w:pPr>
        <w:spacing w:before="77"/>
        <w:ind w:left="1833"/>
        <w:outlineLvl w:val="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pacing w:val="13"/>
          <w:sz w:val="18"/>
          <w:szCs w:val="18"/>
        </w:rPr>
        <w:t>3. 3</w:t>
      </w:r>
      <w:r>
        <w:rPr>
          <w:rFonts w:ascii="微软雅黑" w:hAnsi="微软雅黑" w:eastAsia="微软雅黑" w:cs="微软雅黑"/>
          <w:b/>
          <w:bCs/>
          <w:spacing w:val="46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13"/>
          <w:sz w:val="18"/>
          <w:szCs w:val="18"/>
        </w:rPr>
        <w:t>全方位苯系物净化处理</w:t>
      </w:r>
    </w:p>
    <w:p w14:paraId="77A741A0">
      <w:pPr>
        <w:pStyle w:val="2"/>
        <w:spacing w:line="421" w:lineRule="auto"/>
      </w:pPr>
    </w:p>
    <w:p w14:paraId="58984768">
      <w:pPr>
        <w:spacing w:before="77" w:line="191" w:lineRule="auto"/>
        <w:ind w:left="2380"/>
        <w:outlineLvl w:val="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color w:val="3B3838"/>
          <w:spacing w:val="18"/>
          <w:sz w:val="18"/>
          <w:szCs w:val="18"/>
        </w:rPr>
        <w:t>用冰虫二氧化钛光触媒产品针对墙面</w:t>
      </w:r>
      <w:r>
        <w:rPr>
          <w:rFonts w:ascii="微软雅黑" w:hAnsi="微软雅黑" w:eastAsia="微软雅黑" w:cs="微软雅黑"/>
          <w:color w:val="3B3838"/>
          <w:spacing w:val="39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8"/>
          <w:sz w:val="18"/>
          <w:szCs w:val="18"/>
        </w:rPr>
        <w:t>、</w:t>
      </w:r>
      <w:r>
        <w:rPr>
          <w:rFonts w:ascii="微软雅黑" w:hAnsi="微软雅黑" w:eastAsia="微软雅黑" w:cs="微软雅黑"/>
          <w:color w:val="3B3838"/>
          <w:spacing w:val="-30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8"/>
          <w:sz w:val="18"/>
          <w:szCs w:val="18"/>
        </w:rPr>
        <w:t>布艺</w:t>
      </w:r>
      <w:r>
        <w:rPr>
          <w:rFonts w:ascii="微软雅黑" w:hAnsi="微软雅黑" w:eastAsia="微软雅黑" w:cs="微软雅黑"/>
          <w:color w:val="3B3838"/>
          <w:spacing w:val="40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8"/>
          <w:sz w:val="18"/>
          <w:szCs w:val="18"/>
        </w:rPr>
        <w:t>、</w:t>
      </w:r>
      <w:r>
        <w:rPr>
          <w:rFonts w:ascii="微软雅黑" w:hAnsi="微软雅黑" w:eastAsia="微软雅黑" w:cs="微软雅黑"/>
          <w:color w:val="3B3838"/>
          <w:spacing w:val="-30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8"/>
          <w:sz w:val="18"/>
          <w:szCs w:val="18"/>
        </w:rPr>
        <w:t>油漆材料表面的施</w:t>
      </w:r>
      <w:r>
        <w:rPr>
          <w:rFonts w:ascii="微软雅黑" w:hAnsi="微软雅黑" w:eastAsia="微软雅黑" w:cs="微软雅黑"/>
          <w:color w:val="3B3838"/>
          <w:spacing w:val="17"/>
          <w:sz w:val="18"/>
          <w:szCs w:val="18"/>
        </w:rPr>
        <w:t>工</w:t>
      </w:r>
      <w:r>
        <w:rPr>
          <w:rFonts w:ascii="微软雅黑" w:hAnsi="微软雅黑" w:eastAsia="微软雅黑" w:cs="微软雅黑"/>
          <w:color w:val="3B3838"/>
          <w:spacing w:val="23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7"/>
          <w:sz w:val="18"/>
          <w:szCs w:val="18"/>
        </w:rPr>
        <w:t>， 使其对该材料的</w:t>
      </w:r>
    </w:p>
    <w:p w14:paraId="4E6FDC8F">
      <w:pPr>
        <w:spacing w:before="187" w:line="190" w:lineRule="auto"/>
        <w:ind w:left="1809"/>
      </w:pPr>
      <w:r>
        <w:rPr>
          <w:rFonts w:ascii="微软雅黑" w:hAnsi="微软雅黑" w:eastAsia="微软雅黑" w:cs="微软雅黑"/>
          <w:color w:val="3B3838"/>
          <w:spacing w:val="21"/>
          <w:sz w:val="18"/>
          <w:szCs w:val="18"/>
        </w:rPr>
        <w:t>苯系物异味进行中和降解。</w:t>
      </w:r>
    </w:p>
    <w:p w14:paraId="3E27366A">
      <w:pPr>
        <w:pStyle w:val="2"/>
        <w:spacing w:line="432" w:lineRule="auto"/>
      </w:pPr>
    </w:p>
    <w:p w14:paraId="1065C1AE">
      <w:pPr>
        <w:spacing w:before="78"/>
        <w:ind w:left="1877"/>
        <w:outlineLvl w:val="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pacing w:val="19"/>
          <w:sz w:val="18"/>
          <w:szCs w:val="18"/>
        </w:rPr>
        <w:t>3.4</w:t>
      </w:r>
      <w:r>
        <w:rPr>
          <w:rFonts w:ascii="微软雅黑" w:hAnsi="微软雅黑" w:eastAsia="微软雅黑" w:cs="微软雅黑"/>
          <w:b/>
          <w:bCs/>
          <w:spacing w:val="49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19"/>
          <w:sz w:val="18"/>
          <w:szCs w:val="18"/>
        </w:rPr>
        <w:t>全方位</w:t>
      </w:r>
      <w:r>
        <w:rPr>
          <w:rFonts w:ascii="微软雅黑" w:hAnsi="微软雅黑" w:eastAsia="微软雅黑" w:cs="微软雅黑"/>
          <w:b/>
          <w:bCs/>
          <w:spacing w:val="43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z w:val="18"/>
          <w:szCs w:val="18"/>
        </w:rPr>
        <w:t>TVOC</w:t>
      </w:r>
      <w:r>
        <w:rPr>
          <w:rFonts w:ascii="微软雅黑" w:hAnsi="微软雅黑" w:eastAsia="微软雅黑" w:cs="微软雅黑"/>
          <w:b/>
          <w:bCs/>
          <w:spacing w:val="28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19"/>
          <w:sz w:val="18"/>
          <w:szCs w:val="18"/>
        </w:rPr>
        <w:t>净化处理</w:t>
      </w:r>
    </w:p>
    <w:p w14:paraId="3D56432E">
      <w:pPr>
        <w:pStyle w:val="2"/>
        <w:spacing w:line="353" w:lineRule="auto"/>
      </w:pPr>
    </w:p>
    <w:p w14:paraId="2E399C9D">
      <w:pPr>
        <w:spacing w:before="77" w:line="225" w:lineRule="auto"/>
        <w:ind w:left="1810" w:right="1917" w:firstLine="426"/>
      </w:pPr>
      <w:r>
        <w:rPr>
          <w:rFonts w:ascii="微软雅黑" w:hAnsi="微软雅黑" w:eastAsia="微软雅黑" w:cs="微软雅黑"/>
          <w:color w:val="3B3838"/>
          <w:spacing w:val="14"/>
          <w:sz w:val="18"/>
          <w:szCs w:val="18"/>
        </w:rPr>
        <w:t>冰虫</w:t>
      </w:r>
      <w:r>
        <w:rPr>
          <w:rFonts w:ascii="微软雅黑" w:hAnsi="微软雅黑" w:eastAsia="微软雅黑" w:cs="微软雅黑"/>
          <w:color w:val="3B3838"/>
          <w:spacing w:val="66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4"/>
          <w:sz w:val="18"/>
          <w:szCs w:val="18"/>
        </w:rPr>
        <w:t>C</w:t>
      </w:r>
      <w:r>
        <w:rPr>
          <w:rFonts w:ascii="微软雅黑" w:hAnsi="微软雅黑" w:eastAsia="微软雅黑" w:cs="微软雅黑"/>
          <w:color w:val="3B3838"/>
          <w:spacing w:val="26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4"/>
          <w:sz w:val="18"/>
          <w:szCs w:val="18"/>
        </w:rPr>
        <w:t>系列产品针对板材</w:t>
      </w:r>
      <w:r>
        <w:rPr>
          <w:rFonts w:ascii="微软雅黑" w:hAnsi="微软雅黑" w:eastAsia="微软雅黑" w:cs="微软雅黑"/>
          <w:color w:val="3B3838"/>
          <w:spacing w:val="37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4"/>
          <w:sz w:val="18"/>
          <w:szCs w:val="18"/>
        </w:rPr>
        <w:t>、</w:t>
      </w:r>
      <w:r>
        <w:rPr>
          <w:rFonts w:ascii="微软雅黑" w:hAnsi="微软雅黑" w:eastAsia="微软雅黑" w:cs="微软雅黑"/>
          <w:color w:val="3B3838"/>
          <w:spacing w:val="-32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4"/>
          <w:sz w:val="18"/>
          <w:szCs w:val="18"/>
        </w:rPr>
        <w:t>墙面 、</w:t>
      </w:r>
      <w:r>
        <w:rPr>
          <w:rFonts w:ascii="微软雅黑" w:hAnsi="微软雅黑" w:eastAsia="微软雅黑" w:cs="微软雅黑"/>
          <w:color w:val="3B3838"/>
          <w:spacing w:val="-32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4"/>
          <w:sz w:val="18"/>
          <w:szCs w:val="18"/>
        </w:rPr>
        <w:t>布艺</w:t>
      </w:r>
      <w:r>
        <w:rPr>
          <w:rFonts w:ascii="微软雅黑" w:hAnsi="微软雅黑" w:eastAsia="微软雅黑" w:cs="微软雅黑"/>
          <w:color w:val="3B3838"/>
          <w:spacing w:val="35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4"/>
          <w:sz w:val="18"/>
          <w:szCs w:val="18"/>
        </w:rPr>
        <w:t>、皮</w:t>
      </w:r>
      <w:r>
        <w:rPr>
          <w:rFonts w:hint="eastAsia" w:ascii="微软雅黑" w:hAnsi="微软雅黑" w:eastAsia="微软雅黑" w:cs="微软雅黑"/>
          <w:color w:val="3B3838"/>
          <w:spacing w:val="14"/>
          <w:sz w:val="18"/>
          <w:szCs w:val="18"/>
          <w:lang w:eastAsia="zh-CN"/>
        </w:rPr>
        <w:t>革等</w:t>
      </w:r>
      <w:r>
        <w:rPr>
          <w:rFonts w:ascii="微软雅黑" w:hAnsi="微软雅黑" w:eastAsia="微软雅黑" w:cs="微软雅黑"/>
          <w:color w:val="3B3838"/>
          <w:spacing w:val="14"/>
          <w:sz w:val="18"/>
          <w:szCs w:val="18"/>
        </w:rPr>
        <w:t>重点污染源进行二次处理</w:t>
      </w:r>
      <w:r>
        <w:rPr>
          <w:rFonts w:ascii="微软雅黑" w:hAnsi="微软雅黑" w:eastAsia="微软雅黑" w:cs="微软雅黑"/>
          <w:color w:val="3B3838"/>
          <w:spacing w:val="23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4"/>
          <w:sz w:val="18"/>
          <w:szCs w:val="18"/>
        </w:rPr>
        <w:t>， 达到效果</w:t>
      </w:r>
      <w:r>
        <w:rPr>
          <w:rFonts w:ascii="微软雅黑" w:hAnsi="微软雅黑" w:eastAsia="微软雅黑" w:cs="微软雅黑"/>
          <w:color w:val="3B3838"/>
          <w:spacing w:val="11"/>
          <w:sz w:val="18"/>
          <w:szCs w:val="18"/>
        </w:rPr>
        <w:t>最大化。</w:t>
      </w:r>
    </w:p>
    <w:p w14:paraId="1854A5D0">
      <w:pPr>
        <w:pStyle w:val="2"/>
        <w:spacing w:line="396" w:lineRule="auto"/>
      </w:pPr>
    </w:p>
    <w:p w14:paraId="135FB325">
      <w:pPr>
        <w:spacing w:before="78"/>
        <w:ind w:left="1877"/>
        <w:outlineLvl w:val="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pacing w:val="14"/>
          <w:sz w:val="18"/>
          <w:szCs w:val="18"/>
        </w:rPr>
        <w:t>3. 5</w:t>
      </w:r>
      <w:r>
        <w:rPr>
          <w:rFonts w:ascii="微软雅黑" w:hAnsi="微软雅黑" w:eastAsia="微软雅黑" w:cs="微软雅黑"/>
          <w:b/>
          <w:bCs/>
          <w:spacing w:val="44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14"/>
          <w:sz w:val="18"/>
          <w:szCs w:val="18"/>
        </w:rPr>
        <w:t>特殊部位阴暗面强化处理</w:t>
      </w:r>
    </w:p>
    <w:p w14:paraId="6D4F4DE0">
      <w:pPr>
        <w:pStyle w:val="2"/>
        <w:spacing w:line="350" w:lineRule="auto"/>
      </w:pPr>
    </w:p>
    <w:p w14:paraId="7B7CB1B0">
      <w:pPr>
        <w:spacing w:before="78" w:line="222" w:lineRule="auto"/>
        <w:ind w:left="1810" w:right="1835" w:firstLine="426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color w:val="3B3838"/>
          <w:spacing w:val="22"/>
          <w:sz w:val="18"/>
          <w:szCs w:val="18"/>
        </w:rPr>
        <w:t>用冰虫复合甲醛溶解二氧化钛光触媒产品针对柜子内部</w:t>
      </w:r>
      <w:r>
        <w:rPr>
          <w:rFonts w:ascii="微软雅黑" w:hAnsi="微软雅黑" w:eastAsia="微软雅黑" w:cs="微软雅黑"/>
          <w:color w:val="3B3838"/>
          <w:spacing w:val="-25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22"/>
          <w:sz w:val="18"/>
          <w:szCs w:val="18"/>
        </w:rPr>
        <w:t>、</w:t>
      </w:r>
      <w:r>
        <w:rPr>
          <w:rFonts w:ascii="微软雅黑" w:hAnsi="微软雅黑" w:eastAsia="微软雅黑" w:cs="微软雅黑"/>
          <w:color w:val="3B3838"/>
          <w:spacing w:val="-30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22"/>
          <w:sz w:val="18"/>
          <w:szCs w:val="18"/>
        </w:rPr>
        <w:t>桌子背面材料表面的施工</w:t>
      </w:r>
      <w:r>
        <w:rPr>
          <w:rFonts w:ascii="微软雅黑" w:hAnsi="微软雅黑" w:eastAsia="微软雅黑" w:cs="微软雅黑"/>
          <w:color w:val="3B3838"/>
          <w:spacing w:val="28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21"/>
          <w:sz w:val="18"/>
          <w:szCs w:val="18"/>
        </w:rPr>
        <w:t>，</w:t>
      </w:r>
      <w:r>
        <w:rPr>
          <w:rFonts w:ascii="微软雅黑" w:hAnsi="微软雅黑" w:eastAsia="微软雅黑" w:cs="微软雅黑"/>
          <w:color w:val="3B3838"/>
          <w:spacing w:val="-30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21"/>
          <w:sz w:val="18"/>
          <w:szCs w:val="18"/>
        </w:rPr>
        <w:t>使</w:t>
      </w:r>
      <w:r>
        <w:rPr>
          <w:rFonts w:ascii="微软雅黑" w:hAnsi="微软雅黑" w:eastAsia="微软雅黑" w:cs="微软雅黑"/>
          <w:color w:val="3B3838"/>
          <w:spacing w:val="25"/>
          <w:sz w:val="18"/>
          <w:szCs w:val="18"/>
        </w:rPr>
        <w:t>其不易受光照的表面增强对光源的敏感度和利</w:t>
      </w:r>
      <w:r>
        <w:rPr>
          <w:rFonts w:ascii="微软雅黑" w:hAnsi="微软雅黑" w:eastAsia="微软雅黑" w:cs="微软雅黑"/>
          <w:color w:val="3B3838"/>
          <w:spacing w:val="24"/>
          <w:sz w:val="18"/>
          <w:szCs w:val="18"/>
        </w:rPr>
        <w:t>用度。</w:t>
      </w:r>
    </w:p>
    <w:p w14:paraId="1A5CBB98">
      <w:pPr>
        <w:pStyle w:val="2"/>
        <w:spacing w:line="259" w:lineRule="auto"/>
      </w:pPr>
    </w:p>
    <w:p w14:paraId="49B58AD5">
      <w:pPr>
        <w:pStyle w:val="2"/>
        <w:spacing w:line="260" w:lineRule="auto"/>
      </w:pPr>
    </w:p>
    <w:p w14:paraId="176EF6A8">
      <w:pPr>
        <w:spacing w:before="77"/>
        <w:ind w:left="1877"/>
        <w:outlineLvl w:val="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pacing w:val="16"/>
          <w:sz w:val="18"/>
          <w:szCs w:val="18"/>
        </w:rPr>
        <w:t>3.6</w:t>
      </w:r>
      <w:r>
        <w:rPr>
          <w:rFonts w:ascii="微软雅黑" w:hAnsi="微软雅黑" w:eastAsia="微软雅黑" w:cs="微软雅黑"/>
          <w:b/>
          <w:bCs/>
          <w:spacing w:val="60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16"/>
          <w:sz w:val="18"/>
          <w:szCs w:val="18"/>
        </w:rPr>
        <w:t>裸露板表面涂刷处理</w:t>
      </w:r>
    </w:p>
    <w:p w14:paraId="015FAF46">
      <w:pPr>
        <w:pStyle w:val="2"/>
        <w:spacing w:line="317" w:lineRule="auto"/>
      </w:pPr>
    </w:p>
    <w:p w14:paraId="0A6AF460">
      <w:pPr>
        <w:spacing w:before="77" w:line="192" w:lineRule="auto"/>
        <w:ind w:left="2236"/>
      </w:pPr>
      <w:r>
        <w:rPr>
          <w:rFonts w:ascii="微软雅黑" w:hAnsi="微软雅黑" w:eastAsia="微软雅黑" w:cs="微软雅黑"/>
          <w:color w:val="3B3838"/>
          <w:spacing w:val="23"/>
          <w:sz w:val="18"/>
          <w:szCs w:val="18"/>
        </w:rPr>
        <w:t>用冰虫缓释分解型产品针对刨花板</w:t>
      </w:r>
      <w:r>
        <w:rPr>
          <w:rFonts w:ascii="微软雅黑" w:hAnsi="微软雅黑" w:eastAsia="微软雅黑" w:cs="微软雅黑"/>
          <w:color w:val="3B3838"/>
          <w:spacing w:val="48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23"/>
          <w:sz w:val="18"/>
          <w:szCs w:val="18"/>
        </w:rPr>
        <w:t>、</w:t>
      </w:r>
      <w:r>
        <w:rPr>
          <w:rFonts w:ascii="微软雅黑" w:hAnsi="微软雅黑" w:eastAsia="微软雅黑" w:cs="微软雅黑"/>
          <w:color w:val="3B3838"/>
          <w:spacing w:val="-28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23"/>
          <w:sz w:val="18"/>
          <w:szCs w:val="18"/>
        </w:rPr>
        <w:t>密度板裸露板表面重点高浓度涂刷处理。</w:t>
      </w:r>
    </w:p>
    <w:p w14:paraId="4497C2D8">
      <w:pPr>
        <w:pStyle w:val="2"/>
        <w:spacing w:line="329" w:lineRule="auto"/>
      </w:pPr>
    </w:p>
    <w:p w14:paraId="397247EE">
      <w:pPr>
        <w:spacing w:before="78"/>
        <w:ind w:left="1877"/>
        <w:outlineLvl w:val="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pacing w:val="8"/>
          <w:sz w:val="18"/>
          <w:szCs w:val="18"/>
        </w:rPr>
        <w:t>3.7</w:t>
      </w:r>
      <w:r>
        <w:rPr>
          <w:rFonts w:ascii="微软雅黑" w:hAnsi="微软雅黑" w:eastAsia="微软雅黑" w:cs="微软雅黑"/>
          <w:b/>
          <w:bCs/>
          <w:spacing w:val="44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8"/>
          <w:sz w:val="18"/>
          <w:szCs w:val="18"/>
        </w:rPr>
        <w:t>家具归位 ，</w:t>
      </w:r>
      <w:r>
        <w:rPr>
          <w:rFonts w:ascii="微软雅黑" w:hAnsi="微软雅黑" w:eastAsia="微软雅黑" w:cs="微软雅黑"/>
          <w:b/>
          <w:bCs/>
          <w:spacing w:val="46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8"/>
          <w:sz w:val="18"/>
          <w:szCs w:val="18"/>
        </w:rPr>
        <w:t>检测遗漏 ，  撤除保护</w:t>
      </w:r>
    </w:p>
    <w:p w14:paraId="34AAD982">
      <w:pPr>
        <w:pStyle w:val="2"/>
        <w:spacing w:line="329" w:lineRule="auto"/>
      </w:pPr>
    </w:p>
    <w:p w14:paraId="6E7CE592">
      <w:pPr>
        <w:spacing w:before="78" w:line="234" w:lineRule="auto"/>
        <w:ind w:left="1843" w:right="1833" w:firstLine="391"/>
      </w:pPr>
      <w:r>
        <w:rPr>
          <w:rFonts w:ascii="微软雅黑" w:hAnsi="微软雅黑" w:eastAsia="微软雅黑" w:cs="微软雅黑"/>
          <w:color w:val="3B3838"/>
          <w:spacing w:val="15"/>
          <w:sz w:val="18"/>
          <w:szCs w:val="18"/>
        </w:rPr>
        <w:t>待光触媒渗透成膜</w:t>
      </w:r>
      <w:r>
        <w:rPr>
          <w:rFonts w:ascii="微软雅黑" w:hAnsi="微软雅黑" w:eastAsia="微软雅黑" w:cs="微软雅黑"/>
          <w:color w:val="3B3838"/>
          <w:spacing w:val="4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5"/>
          <w:sz w:val="18"/>
          <w:szCs w:val="18"/>
        </w:rPr>
        <w:t>，</w:t>
      </w:r>
      <w:r>
        <w:rPr>
          <w:rFonts w:ascii="微软雅黑" w:hAnsi="微软雅黑" w:eastAsia="微软雅黑" w:cs="微软雅黑"/>
          <w:color w:val="3B3838"/>
          <w:spacing w:val="-3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5"/>
          <w:sz w:val="18"/>
          <w:szCs w:val="18"/>
        </w:rPr>
        <w:t>所有家具归位</w:t>
      </w:r>
      <w:r>
        <w:rPr>
          <w:rFonts w:ascii="微软雅黑" w:hAnsi="微软雅黑" w:eastAsia="微软雅黑" w:cs="微软雅黑"/>
          <w:color w:val="3B3838"/>
          <w:spacing w:val="30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5"/>
          <w:sz w:val="18"/>
          <w:szCs w:val="18"/>
        </w:rPr>
        <w:t>，</w:t>
      </w:r>
      <w:r>
        <w:rPr>
          <w:rFonts w:ascii="微软雅黑" w:hAnsi="微软雅黑" w:eastAsia="微软雅黑" w:cs="微软雅黑"/>
          <w:color w:val="3B3838"/>
          <w:spacing w:val="-30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5"/>
          <w:sz w:val="18"/>
          <w:szCs w:val="18"/>
        </w:rPr>
        <w:t>抽屉按标识还原</w:t>
      </w:r>
      <w:r>
        <w:rPr>
          <w:rFonts w:ascii="微软雅黑" w:hAnsi="微软雅黑" w:eastAsia="微软雅黑" w:cs="微软雅黑"/>
          <w:color w:val="3B3838"/>
          <w:spacing w:val="28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5"/>
          <w:sz w:val="18"/>
          <w:szCs w:val="18"/>
        </w:rPr>
        <w:t>，</w:t>
      </w:r>
      <w:r>
        <w:rPr>
          <w:rFonts w:ascii="微软雅黑" w:hAnsi="微软雅黑" w:eastAsia="微软雅黑" w:cs="微软雅黑"/>
          <w:color w:val="3B3838"/>
          <w:spacing w:val="-3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5"/>
          <w:sz w:val="18"/>
          <w:szCs w:val="18"/>
        </w:rPr>
        <w:t>并详细检查是否有遗漏</w:t>
      </w:r>
      <w:r>
        <w:rPr>
          <w:rFonts w:ascii="微软雅黑" w:hAnsi="微软雅黑" w:eastAsia="微软雅黑" w:cs="微软雅黑"/>
          <w:color w:val="3B3838"/>
          <w:spacing w:val="23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5"/>
          <w:sz w:val="18"/>
          <w:szCs w:val="18"/>
        </w:rPr>
        <w:t>，</w:t>
      </w:r>
      <w:r>
        <w:rPr>
          <w:rFonts w:ascii="微软雅黑" w:hAnsi="微软雅黑" w:eastAsia="微软雅黑" w:cs="微软雅黑"/>
          <w:color w:val="3B3838"/>
          <w:spacing w:val="-32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5"/>
          <w:sz w:val="18"/>
          <w:szCs w:val="18"/>
        </w:rPr>
        <w:t>最后撤</w:t>
      </w:r>
      <w:r>
        <w:rPr>
          <w:rFonts w:ascii="微软雅黑" w:hAnsi="微软雅黑" w:eastAsia="微软雅黑" w:cs="微软雅黑"/>
          <w:color w:val="3B3838"/>
          <w:spacing w:val="13"/>
          <w:sz w:val="18"/>
          <w:szCs w:val="18"/>
        </w:rPr>
        <w:t>除所有防护薄膜</w:t>
      </w:r>
      <w:r>
        <w:rPr>
          <w:rFonts w:ascii="微软雅黑" w:hAnsi="微软雅黑" w:eastAsia="微软雅黑" w:cs="微软雅黑"/>
          <w:color w:val="3B3838"/>
          <w:spacing w:val="42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3"/>
          <w:sz w:val="18"/>
          <w:szCs w:val="18"/>
        </w:rPr>
        <w:t>、美纹纸。</w:t>
      </w:r>
    </w:p>
    <w:p w14:paraId="326D1726">
      <w:pPr>
        <w:pStyle w:val="2"/>
        <w:spacing w:line="322" w:lineRule="auto"/>
      </w:pPr>
    </w:p>
    <w:p w14:paraId="1A520A54">
      <w:pPr>
        <w:spacing w:before="78" w:line="239" w:lineRule="auto"/>
        <w:ind w:left="1877"/>
        <w:outlineLvl w:val="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pacing w:val="6"/>
          <w:sz w:val="18"/>
          <w:szCs w:val="18"/>
        </w:rPr>
        <w:t>3.8</w:t>
      </w:r>
      <w:r>
        <w:rPr>
          <w:rFonts w:ascii="微软雅黑" w:hAnsi="微软雅黑" w:eastAsia="微软雅黑" w:cs="微软雅黑"/>
          <w:b/>
          <w:bCs/>
          <w:spacing w:val="42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6"/>
          <w:sz w:val="18"/>
          <w:szCs w:val="18"/>
        </w:rPr>
        <w:t>通风</w:t>
      </w:r>
    </w:p>
    <w:p w14:paraId="237C4E4D">
      <w:pPr>
        <w:pStyle w:val="2"/>
        <w:spacing w:line="358" w:lineRule="auto"/>
      </w:pPr>
    </w:p>
    <w:p w14:paraId="04348A31">
      <w:pPr>
        <w:spacing w:before="78" w:line="222" w:lineRule="auto"/>
        <w:ind w:left="1811" w:right="1871" w:firstLine="423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color w:val="3B3838"/>
          <w:spacing w:val="13"/>
          <w:sz w:val="18"/>
          <w:szCs w:val="18"/>
        </w:rPr>
        <w:t>净化施工完成后</w:t>
      </w:r>
      <w:r>
        <w:rPr>
          <w:rFonts w:ascii="微软雅黑" w:hAnsi="微软雅黑" w:eastAsia="微软雅黑" w:cs="微软雅黑"/>
          <w:color w:val="3B3838"/>
          <w:spacing w:val="36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3"/>
          <w:sz w:val="18"/>
          <w:szCs w:val="18"/>
        </w:rPr>
        <w:t>，</w:t>
      </w:r>
      <w:r>
        <w:rPr>
          <w:rFonts w:ascii="微软雅黑" w:hAnsi="微软雅黑" w:eastAsia="微软雅黑" w:cs="微软雅黑"/>
          <w:color w:val="3B3838"/>
          <w:spacing w:val="29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3"/>
          <w:sz w:val="18"/>
          <w:szCs w:val="18"/>
        </w:rPr>
        <w:t>保持通风状态 ，</w:t>
      </w:r>
      <w:r>
        <w:rPr>
          <w:rFonts w:ascii="微软雅黑" w:hAnsi="微软雅黑" w:eastAsia="微软雅黑" w:cs="微软雅黑"/>
          <w:color w:val="3B3838"/>
          <w:spacing w:val="29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3"/>
          <w:sz w:val="18"/>
          <w:szCs w:val="18"/>
        </w:rPr>
        <w:t>便于光触媒更好</w:t>
      </w:r>
      <w:r>
        <w:rPr>
          <w:rFonts w:hint="eastAsia" w:ascii="微软雅黑" w:hAnsi="微软雅黑" w:eastAsia="微软雅黑" w:cs="微软雅黑"/>
          <w:color w:val="3B3838"/>
          <w:spacing w:val="13"/>
          <w:sz w:val="18"/>
          <w:szCs w:val="18"/>
          <w:lang w:eastAsia="zh-CN"/>
        </w:rPr>
        <w:t>地</w:t>
      </w:r>
      <w:r>
        <w:rPr>
          <w:rFonts w:ascii="微软雅黑" w:hAnsi="微软雅黑" w:eastAsia="微软雅黑" w:cs="微软雅黑"/>
          <w:color w:val="3B3838"/>
          <w:spacing w:val="13"/>
          <w:sz w:val="18"/>
          <w:szCs w:val="18"/>
        </w:rPr>
        <w:t>渗透成膜</w:t>
      </w:r>
      <w:r>
        <w:rPr>
          <w:rFonts w:ascii="微软雅黑" w:hAnsi="微软雅黑" w:eastAsia="微软雅黑" w:cs="微软雅黑"/>
          <w:color w:val="3B3838"/>
          <w:spacing w:val="2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3B3838"/>
          <w:spacing w:val="13"/>
          <w:sz w:val="18"/>
          <w:szCs w:val="18"/>
        </w:rPr>
        <w:t>， 鉴于现场通风条件不佳</w:t>
      </w:r>
      <w:r>
        <w:rPr>
          <w:rFonts w:ascii="微软雅黑" w:hAnsi="微软雅黑" w:eastAsia="微软雅黑" w:cs="微软雅黑"/>
          <w:color w:val="3B3838"/>
          <w:spacing w:val="21"/>
          <w:sz w:val="18"/>
          <w:szCs w:val="18"/>
        </w:rPr>
        <w:t>我司可协助提供轴流风管机。</w:t>
      </w:r>
    </w:p>
    <w:p w14:paraId="17D39E8E">
      <w:pPr>
        <w:pStyle w:val="2"/>
        <w:spacing w:line="281" w:lineRule="auto"/>
      </w:pPr>
    </w:p>
    <w:p w14:paraId="114EC4AE">
      <w:pPr>
        <w:pStyle w:val="2"/>
        <w:spacing w:line="281" w:lineRule="auto"/>
      </w:pPr>
    </w:p>
    <w:p w14:paraId="474EC957">
      <w:pPr>
        <w:spacing w:before="77" w:line="191" w:lineRule="auto"/>
        <w:ind w:left="1812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pacing w:val="18"/>
          <w:sz w:val="18"/>
          <w:szCs w:val="18"/>
        </w:rPr>
        <w:t>治理过程要求事项：</w:t>
      </w:r>
    </w:p>
    <w:p w14:paraId="729FEB19">
      <w:pPr>
        <w:spacing w:before="157" w:line="213" w:lineRule="auto"/>
        <w:ind w:left="1915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8"/>
          <w:sz w:val="18"/>
          <w:szCs w:val="18"/>
        </w:rPr>
        <w:t>（</w:t>
      </w:r>
      <w:r>
        <w:rPr>
          <w:rFonts w:ascii="微软雅黑" w:hAnsi="微软雅黑" w:eastAsia="微软雅黑" w:cs="微软雅黑"/>
          <w:spacing w:val="43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8"/>
          <w:sz w:val="18"/>
          <w:szCs w:val="18"/>
        </w:rPr>
        <w:t>1）</w:t>
      </w:r>
      <w:r>
        <w:rPr>
          <w:rFonts w:ascii="微软雅黑" w:hAnsi="微软雅黑" w:eastAsia="微软雅黑" w:cs="微软雅黑"/>
          <w:spacing w:val="39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8"/>
          <w:sz w:val="18"/>
          <w:szCs w:val="18"/>
        </w:rPr>
        <w:t>喷涂前做好家具</w:t>
      </w:r>
      <w:r>
        <w:rPr>
          <w:rFonts w:ascii="微软雅黑" w:hAnsi="微软雅黑" w:eastAsia="微软雅黑" w:cs="微软雅黑"/>
          <w:spacing w:val="28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8"/>
          <w:sz w:val="18"/>
          <w:szCs w:val="18"/>
        </w:rPr>
        <w:t>、家电保护措施。</w:t>
      </w:r>
    </w:p>
    <w:p w14:paraId="519B9850">
      <w:pPr>
        <w:spacing w:before="1" w:line="211" w:lineRule="auto"/>
        <w:ind w:left="1806" w:right="1828" w:firstLine="108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11"/>
          <w:sz w:val="18"/>
          <w:szCs w:val="18"/>
        </w:rPr>
        <w:t>（2） 不可漏喷</w:t>
      </w:r>
      <w:r>
        <w:rPr>
          <w:rFonts w:ascii="微软雅黑" w:hAnsi="微软雅黑" w:eastAsia="微软雅黑" w:cs="微软雅黑"/>
          <w:spacing w:val="20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1"/>
          <w:sz w:val="18"/>
          <w:szCs w:val="18"/>
        </w:rPr>
        <w:t>， 特别注意家具背面的</w:t>
      </w:r>
      <w:r>
        <w:rPr>
          <w:rFonts w:ascii="微软雅黑" w:hAnsi="微软雅黑" w:eastAsia="微软雅黑" w:cs="微软雅黑"/>
          <w:spacing w:val="10"/>
          <w:sz w:val="18"/>
          <w:szCs w:val="18"/>
        </w:rPr>
        <w:t>污染源</w:t>
      </w:r>
      <w:r>
        <w:rPr>
          <w:rFonts w:ascii="微软雅黑" w:hAnsi="微软雅黑" w:eastAsia="微软雅黑" w:cs="微软雅黑"/>
          <w:spacing w:val="2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0"/>
          <w:sz w:val="18"/>
          <w:szCs w:val="18"/>
        </w:rPr>
        <w:t>，</w:t>
      </w:r>
      <w:r>
        <w:rPr>
          <w:rFonts w:ascii="微软雅黑" w:hAnsi="微软雅黑" w:eastAsia="微软雅黑" w:cs="微软雅黑"/>
          <w:spacing w:val="25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0"/>
          <w:sz w:val="18"/>
          <w:szCs w:val="18"/>
        </w:rPr>
        <w:t>只要可移动的家具</w:t>
      </w:r>
      <w:r>
        <w:rPr>
          <w:rFonts w:ascii="微软雅黑" w:hAnsi="微软雅黑" w:eastAsia="微软雅黑" w:cs="微软雅黑"/>
          <w:spacing w:val="18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0"/>
          <w:sz w:val="18"/>
          <w:szCs w:val="18"/>
        </w:rPr>
        <w:t>， 必须移开进行处理 ， 确</w:t>
      </w:r>
      <w:r>
        <w:rPr>
          <w:rFonts w:ascii="微软雅黑" w:hAnsi="微软雅黑" w:eastAsia="微软雅黑" w:cs="微软雅黑"/>
          <w:spacing w:val="19"/>
          <w:sz w:val="18"/>
          <w:szCs w:val="18"/>
        </w:rPr>
        <w:t>保每个面都施工到位。</w:t>
      </w:r>
    </w:p>
    <w:p w14:paraId="5C9DB928">
      <w:pPr>
        <w:spacing w:line="218" w:lineRule="auto"/>
        <w:ind w:left="1915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10"/>
          <w:sz w:val="18"/>
          <w:szCs w:val="18"/>
        </w:rPr>
        <w:t>（3）</w:t>
      </w:r>
      <w:r>
        <w:rPr>
          <w:rFonts w:ascii="微软雅黑" w:hAnsi="微软雅黑" w:eastAsia="微软雅黑" w:cs="微软雅黑"/>
          <w:spacing w:val="58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0"/>
          <w:sz w:val="18"/>
          <w:szCs w:val="18"/>
        </w:rPr>
        <w:t>喷涂施工更换产品时</w:t>
      </w:r>
      <w:r>
        <w:rPr>
          <w:rFonts w:ascii="微软雅黑" w:hAnsi="微软雅黑" w:eastAsia="微软雅黑" w:cs="微软雅黑"/>
          <w:spacing w:val="28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0"/>
          <w:sz w:val="18"/>
          <w:szCs w:val="18"/>
        </w:rPr>
        <w:t>， 必须将喷枪清洗干净。</w:t>
      </w:r>
    </w:p>
    <w:p w14:paraId="3D26E7DD">
      <w:pPr>
        <w:spacing w:before="1" w:line="219" w:lineRule="auto"/>
        <w:ind w:left="1806" w:right="1833" w:firstLine="109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15"/>
          <w:sz w:val="18"/>
          <w:szCs w:val="18"/>
        </w:rPr>
        <w:t>（4 ） 施工后</w:t>
      </w:r>
      <w:r>
        <w:rPr>
          <w:rFonts w:ascii="微软雅黑" w:hAnsi="微软雅黑" w:eastAsia="微软雅黑" w:cs="微软雅黑"/>
          <w:spacing w:val="25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5"/>
          <w:sz w:val="18"/>
          <w:szCs w:val="18"/>
        </w:rPr>
        <w:t>， 光触媒中融入纳米银离子</w:t>
      </w:r>
      <w:r>
        <w:rPr>
          <w:rFonts w:ascii="微软雅黑" w:hAnsi="微软雅黑" w:eastAsia="微软雅黑" w:cs="微软雅黑"/>
          <w:spacing w:val="26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5"/>
          <w:sz w:val="18"/>
          <w:szCs w:val="18"/>
        </w:rPr>
        <w:t>， 在催化剂的反应下会将甲醛催化分解生成二</w:t>
      </w:r>
      <w:r>
        <w:rPr>
          <w:rFonts w:ascii="微软雅黑" w:hAnsi="微软雅黑" w:eastAsia="微软雅黑" w:cs="微软雅黑"/>
          <w:spacing w:val="14"/>
          <w:sz w:val="18"/>
          <w:szCs w:val="18"/>
        </w:rPr>
        <w:t>氧化</w:t>
      </w:r>
      <w:r>
        <w:rPr>
          <w:rFonts w:ascii="微软雅黑" w:hAnsi="微软雅黑" w:eastAsia="微软雅黑" w:cs="微软雅黑"/>
          <w:spacing w:val="15"/>
          <w:sz w:val="18"/>
          <w:szCs w:val="18"/>
        </w:rPr>
        <w:t>碳交换出去</w:t>
      </w:r>
      <w:r>
        <w:rPr>
          <w:rFonts w:ascii="微软雅黑" w:hAnsi="微软雅黑" w:eastAsia="微软雅黑" w:cs="微软雅黑"/>
          <w:spacing w:val="45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5"/>
          <w:sz w:val="18"/>
          <w:szCs w:val="18"/>
        </w:rPr>
        <w:t>， 再施工后需保持通风</w:t>
      </w:r>
      <w:r>
        <w:rPr>
          <w:rFonts w:ascii="微软雅黑" w:hAnsi="微软雅黑" w:eastAsia="微软雅黑" w:cs="微软雅黑"/>
          <w:spacing w:val="25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5"/>
          <w:sz w:val="18"/>
          <w:szCs w:val="18"/>
        </w:rPr>
        <w:t>， 将二氧化碳释放</w:t>
      </w:r>
      <w:r>
        <w:rPr>
          <w:rFonts w:ascii="微软雅黑" w:hAnsi="微软雅黑" w:eastAsia="微软雅黑" w:cs="微软雅黑"/>
          <w:spacing w:val="14"/>
          <w:sz w:val="18"/>
          <w:szCs w:val="18"/>
        </w:rPr>
        <w:t>出去。</w:t>
      </w:r>
    </w:p>
    <w:p w14:paraId="2ABC2268">
      <w:pPr>
        <w:spacing w:before="26" w:line="231" w:lineRule="auto"/>
        <w:ind w:left="1915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12"/>
          <w:sz w:val="18"/>
          <w:szCs w:val="18"/>
        </w:rPr>
        <w:t>（ 5 ）</w:t>
      </w:r>
      <w:r>
        <w:rPr>
          <w:rFonts w:ascii="微软雅黑" w:hAnsi="微软雅黑" w:eastAsia="微软雅黑" w:cs="微软雅黑"/>
          <w:spacing w:val="38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2"/>
          <w:sz w:val="18"/>
          <w:szCs w:val="18"/>
        </w:rPr>
        <w:t>重点污染源需要重点处理</w:t>
      </w:r>
      <w:r>
        <w:rPr>
          <w:rFonts w:ascii="微软雅黑" w:hAnsi="微软雅黑" w:eastAsia="微软雅黑" w:cs="微软雅黑"/>
          <w:spacing w:val="2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2"/>
          <w:sz w:val="18"/>
          <w:szCs w:val="18"/>
        </w:rPr>
        <w:t>， 尤其是对木质家具等人造板材的处理。</w:t>
      </w:r>
    </w:p>
    <w:p w14:paraId="35B9BC2D">
      <w:pPr>
        <w:pStyle w:val="2"/>
        <w:spacing w:line="459" w:lineRule="auto"/>
      </w:pPr>
    </w:p>
    <w:p w14:paraId="60C9C563">
      <w:pPr>
        <w:spacing w:before="77" w:line="235" w:lineRule="auto"/>
        <w:ind w:left="1909"/>
        <w:outlineLvl w:val="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pacing w:val="16"/>
          <w:sz w:val="18"/>
          <w:szCs w:val="18"/>
        </w:rPr>
        <w:t>（四）  施工时间及完成后注意事项</w:t>
      </w:r>
    </w:p>
    <w:p w14:paraId="6612D5F1">
      <w:pPr>
        <w:spacing w:before="158" w:line="192" w:lineRule="auto"/>
        <w:ind w:left="223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17"/>
          <w:sz w:val="18"/>
          <w:szCs w:val="18"/>
        </w:rPr>
        <w:t>本项目根据治理建筑面积和治理难易度</w:t>
      </w:r>
      <w:r>
        <w:rPr>
          <w:rFonts w:ascii="微软雅黑" w:hAnsi="微软雅黑" w:eastAsia="微软雅黑" w:cs="微软雅黑"/>
          <w:spacing w:val="30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7"/>
          <w:sz w:val="18"/>
          <w:szCs w:val="18"/>
        </w:rPr>
        <w:t>，</w:t>
      </w:r>
      <w:r>
        <w:rPr>
          <w:rFonts w:ascii="微软雅黑" w:hAnsi="微软雅黑" w:eastAsia="微软雅黑" w:cs="微软雅黑"/>
          <w:spacing w:val="38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7"/>
          <w:sz w:val="18"/>
          <w:szCs w:val="18"/>
        </w:rPr>
        <w:t>工期约半天时间</w:t>
      </w:r>
      <w:r>
        <w:rPr>
          <w:rFonts w:ascii="微软雅黑" w:hAnsi="微软雅黑" w:eastAsia="微软雅黑" w:cs="微软雅黑"/>
          <w:spacing w:val="-13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7"/>
          <w:sz w:val="18"/>
          <w:szCs w:val="18"/>
        </w:rPr>
        <w:t>，</w:t>
      </w:r>
      <w:r>
        <w:rPr>
          <w:rFonts w:ascii="微软雅黑" w:hAnsi="微软雅黑" w:eastAsia="微软雅黑" w:cs="微软雅黑"/>
          <w:spacing w:val="37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7"/>
          <w:sz w:val="18"/>
          <w:szCs w:val="18"/>
        </w:rPr>
        <w:t>具体配合甲方。</w:t>
      </w:r>
    </w:p>
    <w:p w14:paraId="74E51A5F">
      <w:pPr>
        <w:spacing w:before="54"/>
      </w:pPr>
    </w:p>
    <w:p w14:paraId="2C680B88">
      <w:pPr>
        <w:spacing w:before="53"/>
      </w:pPr>
    </w:p>
    <w:tbl>
      <w:tblPr>
        <w:tblStyle w:val="5"/>
        <w:tblW w:w="7976" w:type="dxa"/>
        <w:tblInd w:w="195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7"/>
        <w:gridCol w:w="5009"/>
      </w:tblGrid>
      <w:tr w14:paraId="5ACD24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967" w:type="dxa"/>
            <w:vAlign w:val="top"/>
          </w:tcPr>
          <w:p w14:paraId="4C90006A">
            <w:pPr>
              <w:pStyle w:val="6"/>
              <w:spacing w:before="168" w:line="190" w:lineRule="auto"/>
              <w:ind w:left="1310"/>
            </w:pPr>
            <w:r>
              <w:rPr>
                <w:color w:val="FF0000"/>
                <w:spacing w:val="5"/>
              </w:rPr>
              <w:t>时间</w:t>
            </w:r>
          </w:p>
        </w:tc>
        <w:tc>
          <w:tcPr>
            <w:tcW w:w="5009" w:type="dxa"/>
            <w:vAlign w:val="top"/>
          </w:tcPr>
          <w:p w14:paraId="51A70E97">
            <w:pPr>
              <w:pStyle w:val="6"/>
              <w:spacing w:before="168" w:line="190" w:lineRule="auto"/>
              <w:ind w:left="2302"/>
            </w:pPr>
            <w:r>
              <w:rPr>
                <w:color w:val="FF0000"/>
                <w:spacing w:val="19"/>
              </w:rPr>
              <w:t>要求事项</w:t>
            </w:r>
          </w:p>
        </w:tc>
      </w:tr>
      <w:tr w14:paraId="0E8D72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2967" w:type="dxa"/>
            <w:vAlign w:val="top"/>
          </w:tcPr>
          <w:p w14:paraId="41EF41E2">
            <w:pPr>
              <w:pStyle w:val="6"/>
              <w:spacing w:before="218" w:line="239" w:lineRule="auto"/>
              <w:ind w:left="1219"/>
            </w:pPr>
            <w:r>
              <w:rPr>
                <w:color w:val="FF0000"/>
                <w:spacing w:val="4"/>
              </w:rPr>
              <w:t>2</w:t>
            </w:r>
            <w:r>
              <w:rPr>
                <w:color w:val="FF0000"/>
                <w:spacing w:val="9"/>
              </w:rPr>
              <w:t xml:space="preserve"> </w:t>
            </w:r>
            <w:r>
              <w:rPr>
                <w:color w:val="FF0000"/>
                <w:spacing w:val="4"/>
              </w:rPr>
              <w:t>小时</w:t>
            </w:r>
          </w:p>
        </w:tc>
        <w:tc>
          <w:tcPr>
            <w:tcW w:w="5009" w:type="dxa"/>
            <w:vAlign w:val="top"/>
          </w:tcPr>
          <w:p w14:paraId="065B4B2E">
            <w:pPr>
              <w:pStyle w:val="6"/>
              <w:spacing w:before="43" w:line="222" w:lineRule="auto"/>
              <w:ind w:left="117" w:right="250" w:firstLine="14"/>
            </w:pPr>
            <w:r>
              <w:rPr>
                <w:color w:val="FF0000"/>
                <w:spacing w:val="10"/>
              </w:rPr>
              <w:t>2</w:t>
            </w:r>
            <w:r>
              <w:rPr>
                <w:color w:val="FF0000"/>
                <w:spacing w:val="36"/>
              </w:rPr>
              <w:t xml:space="preserve"> </w:t>
            </w:r>
            <w:r>
              <w:rPr>
                <w:color w:val="FF0000"/>
                <w:spacing w:val="10"/>
              </w:rPr>
              <w:t>小时内不要随意走动</w:t>
            </w:r>
            <w:r>
              <w:rPr>
                <w:color w:val="FF0000"/>
                <w:spacing w:val="25"/>
                <w:w w:val="101"/>
              </w:rPr>
              <w:t xml:space="preserve"> </w:t>
            </w:r>
            <w:r>
              <w:rPr>
                <w:color w:val="FF0000"/>
                <w:spacing w:val="10"/>
              </w:rPr>
              <w:t>，</w:t>
            </w:r>
            <w:r>
              <w:rPr>
                <w:color w:val="FF0000"/>
                <w:spacing w:val="28"/>
              </w:rPr>
              <w:t xml:space="preserve"> </w:t>
            </w:r>
            <w:r>
              <w:rPr>
                <w:color w:val="FF0000"/>
                <w:spacing w:val="10"/>
              </w:rPr>
              <w:t>让光触媒药水自然渗透 ，</w:t>
            </w:r>
            <w:r>
              <w:rPr>
                <w:color w:val="FF0000"/>
                <w:spacing w:val="33"/>
                <w:w w:val="101"/>
              </w:rPr>
              <w:t xml:space="preserve"> </w:t>
            </w:r>
            <w:r>
              <w:rPr>
                <w:color w:val="FF0000"/>
                <w:spacing w:val="10"/>
              </w:rPr>
              <w:t>2</w:t>
            </w:r>
            <w:r>
              <w:rPr>
                <w:color w:val="FF0000"/>
                <w:spacing w:val="21"/>
              </w:rPr>
              <w:t>小时后可入室正常走动。</w:t>
            </w:r>
          </w:p>
        </w:tc>
      </w:tr>
      <w:tr w14:paraId="6E3C66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967" w:type="dxa"/>
            <w:vAlign w:val="top"/>
          </w:tcPr>
          <w:p w14:paraId="5A04E931">
            <w:pPr>
              <w:pStyle w:val="6"/>
              <w:spacing w:before="223" w:line="239" w:lineRule="auto"/>
              <w:ind w:left="1163"/>
            </w:pPr>
            <w:r>
              <w:rPr>
                <w:color w:val="FF0000"/>
                <w:spacing w:val="5"/>
              </w:rPr>
              <w:t>72小时</w:t>
            </w:r>
          </w:p>
        </w:tc>
        <w:tc>
          <w:tcPr>
            <w:tcW w:w="5009" w:type="dxa"/>
            <w:vAlign w:val="top"/>
          </w:tcPr>
          <w:p w14:paraId="56DD2AE2">
            <w:pPr>
              <w:pStyle w:val="6"/>
              <w:spacing w:before="49" w:line="222" w:lineRule="auto"/>
              <w:ind w:left="113" w:right="231" w:firstLine="14"/>
            </w:pPr>
            <w:r>
              <w:rPr>
                <w:color w:val="FF0000"/>
                <w:spacing w:val="10"/>
              </w:rPr>
              <w:t>72</w:t>
            </w:r>
            <w:r>
              <w:rPr>
                <w:color w:val="FF0000"/>
                <w:spacing w:val="39"/>
              </w:rPr>
              <w:t xml:space="preserve"> </w:t>
            </w:r>
            <w:r>
              <w:rPr>
                <w:color w:val="FF0000"/>
                <w:spacing w:val="10"/>
              </w:rPr>
              <w:t>小时内不能保洁</w:t>
            </w:r>
            <w:r>
              <w:rPr>
                <w:color w:val="FF0000"/>
                <w:spacing w:val="23"/>
              </w:rPr>
              <w:t xml:space="preserve"> </w:t>
            </w:r>
            <w:r>
              <w:rPr>
                <w:color w:val="FF0000"/>
                <w:spacing w:val="10"/>
              </w:rPr>
              <w:t>，尤其不要擦拭板材 ，皮革类等，</w:t>
            </w:r>
            <w:r>
              <w:rPr>
                <w:color w:val="FF0000"/>
                <w:spacing w:val="23"/>
              </w:rPr>
              <w:t>让药水充</w:t>
            </w:r>
            <w:r>
              <w:rPr>
                <w:color w:val="FF0000"/>
                <w:spacing w:val="46"/>
              </w:rPr>
              <w:t xml:space="preserve"> </w:t>
            </w:r>
            <w:r>
              <w:rPr>
                <w:color w:val="FF0000"/>
                <w:spacing w:val="23"/>
              </w:rPr>
              <w:t>分分解甲醛等有害气体</w:t>
            </w:r>
          </w:p>
        </w:tc>
      </w:tr>
    </w:tbl>
    <w:p w14:paraId="6A782616">
      <w:pPr>
        <w:pStyle w:val="2"/>
        <w:spacing w:line="279" w:lineRule="auto"/>
      </w:pPr>
    </w:p>
    <w:p w14:paraId="6DD064DC">
      <w:pPr>
        <w:pStyle w:val="2"/>
        <w:spacing w:line="280" w:lineRule="auto"/>
      </w:pPr>
    </w:p>
    <w:p w14:paraId="413C67B6">
      <w:pPr>
        <w:spacing w:before="78" w:line="235" w:lineRule="auto"/>
        <w:ind w:left="1909"/>
        <w:outlineLvl w:val="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pacing w:val="7"/>
          <w:sz w:val="18"/>
          <w:szCs w:val="18"/>
        </w:rPr>
        <w:t>（五）</w:t>
      </w:r>
      <w:r>
        <w:rPr>
          <w:rFonts w:ascii="微软雅黑" w:hAnsi="微软雅黑" w:eastAsia="微软雅黑" w:cs="微软雅黑"/>
          <w:b/>
          <w:bCs/>
          <w:spacing w:val="10"/>
          <w:sz w:val="18"/>
          <w:szCs w:val="18"/>
        </w:rPr>
        <w:t xml:space="preserve">  </w:t>
      </w:r>
      <w:r>
        <w:rPr>
          <w:rFonts w:ascii="微软雅黑" w:hAnsi="微软雅黑" w:eastAsia="微软雅黑" w:cs="微软雅黑"/>
          <w:b/>
          <w:bCs/>
          <w:spacing w:val="7"/>
          <w:sz w:val="18"/>
          <w:szCs w:val="18"/>
        </w:rPr>
        <w:t>验收阶段</w:t>
      </w:r>
    </w:p>
    <w:p w14:paraId="092868B4">
      <w:pPr>
        <w:spacing w:before="174" w:line="231" w:lineRule="auto"/>
        <w:ind w:left="1882"/>
        <w:outlineLvl w:val="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b/>
          <w:bCs/>
          <w:spacing w:val="2"/>
          <w:sz w:val="18"/>
          <w:szCs w:val="18"/>
        </w:rPr>
        <w:t>1）</w:t>
      </w:r>
      <w:r>
        <w:rPr>
          <w:rFonts w:ascii="微软雅黑" w:hAnsi="微软雅黑" w:eastAsia="微软雅黑" w:cs="微软雅黑"/>
          <w:b/>
          <w:bCs/>
          <w:spacing w:val="51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2"/>
          <w:sz w:val="18"/>
          <w:szCs w:val="18"/>
        </w:rPr>
        <w:t>检测</w:t>
      </w:r>
    </w:p>
    <w:p w14:paraId="6655E0CF">
      <w:pPr>
        <w:spacing w:before="1" w:line="222" w:lineRule="auto"/>
        <w:ind w:left="1806" w:right="1847"/>
      </w:pPr>
      <w:r>
        <w:rPr>
          <w:rFonts w:ascii="微软雅黑" w:hAnsi="微软雅黑" w:eastAsia="微软雅黑" w:cs="微软雅黑"/>
          <w:spacing w:val="15"/>
          <w:sz w:val="18"/>
          <w:szCs w:val="18"/>
        </w:rPr>
        <w:t>在施工  3-5</w:t>
      </w:r>
      <w:r>
        <w:rPr>
          <w:rFonts w:ascii="微软雅黑" w:hAnsi="微软雅黑" w:eastAsia="微软雅黑" w:cs="微软雅黑"/>
          <w:spacing w:val="50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5"/>
          <w:sz w:val="18"/>
          <w:szCs w:val="18"/>
        </w:rPr>
        <w:t>天之后</w:t>
      </w:r>
      <w:r>
        <w:rPr>
          <w:rFonts w:ascii="微软雅黑" w:hAnsi="微软雅黑" w:eastAsia="微软雅黑" w:cs="微软雅黑"/>
          <w:spacing w:val="23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5"/>
          <w:sz w:val="18"/>
          <w:szCs w:val="18"/>
        </w:rPr>
        <w:t>，</w:t>
      </w:r>
      <w:r>
        <w:rPr>
          <w:rFonts w:ascii="微软雅黑" w:hAnsi="微软雅黑" w:eastAsia="微软雅黑" w:cs="微软雅黑"/>
          <w:spacing w:val="-32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5"/>
          <w:sz w:val="18"/>
          <w:szCs w:val="18"/>
        </w:rPr>
        <w:t>可通知采样</w:t>
      </w:r>
      <w:r>
        <w:rPr>
          <w:rFonts w:ascii="微软雅黑" w:hAnsi="微软雅黑" w:eastAsia="微软雅黑" w:cs="微软雅黑"/>
          <w:spacing w:val="23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5"/>
          <w:sz w:val="18"/>
          <w:szCs w:val="18"/>
        </w:rPr>
        <w:t>，</w:t>
      </w:r>
      <w:r>
        <w:rPr>
          <w:rFonts w:ascii="微软雅黑" w:hAnsi="微软雅黑" w:eastAsia="微软雅黑" w:cs="微软雅黑"/>
          <w:spacing w:val="-32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5"/>
          <w:sz w:val="18"/>
          <w:szCs w:val="18"/>
        </w:rPr>
        <w:t>对场地内进行抽样检测 ，检测后对于还存在污染超标的场</w:t>
      </w:r>
      <w:r>
        <w:rPr>
          <w:rFonts w:ascii="微软雅黑" w:hAnsi="微软雅黑" w:eastAsia="微软雅黑" w:cs="微软雅黑"/>
          <w:spacing w:val="16"/>
          <w:sz w:val="18"/>
          <w:szCs w:val="18"/>
        </w:rPr>
        <w:t>地进行</w:t>
      </w:r>
      <w:r>
        <w:rPr>
          <w:rFonts w:ascii="微软雅黑" w:hAnsi="微软雅黑" w:eastAsia="微软雅黑" w:cs="微软雅黑"/>
          <w:color w:val="FF0000"/>
          <w:spacing w:val="16"/>
          <w:sz w:val="18"/>
          <w:szCs w:val="18"/>
        </w:rPr>
        <w:t>二次施工强化</w:t>
      </w:r>
      <w:r>
        <w:rPr>
          <w:rFonts w:ascii="微软雅黑" w:hAnsi="微软雅黑" w:eastAsia="微软雅黑" w:cs="微软雅黑"/>
          <w:color w:val="FF0000"/>
          <w:spacing w:val="44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color w:val="FF0000"/>
          <w:spacing w:val="16"/>
          <w:sz w:val="18"/>
          <w:szCs w:val="18"/>
        </w:rPr>
        <w:t>， 强化直至检测达 标为止</w:t>
      </w:r>
      <w:r>
        <w:rPr>
          <w:rFonts w:ascii="微软雅黑" w:hAnsi="微软雅黑" w:eastAsia="微软雅黑" w:cs="微软雅黑"/>
          <w:color w:val="FF0000"/>
          <w:spacing w:val="32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6"/>
          <w:sz w:val="18"/>
          <w:szCs w:val="18"/>
        </w:rPr>
        <w:t>，</w:t>
      </w:r>
      <w:r>
        <w:rPr>
          <w:rFonts w:ascii="微软雅黑" w:hAnsi="微软雅黑" w:eastAsia="微软雅黑" w:cs="微软雅黑"/>
          <w:spacing w:val="33"/>
          <w:w w:val="101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16"/>
          <w:sz w:val="18"/>
          <w:szCs w:val="18"/>
        </w:rPr>
        <w:t>确保在交付时做到无纰漏。</w:t>
      </w:r>
    </w:p>
    <w:p w14:paraId="739BBF83">
      <w:pPr>
        <w:spacing w:before="141" w:line="184" w:lineRule="auto"/>
        <w:outlineLvl w:val="0"/>
        <w:rPr>
          <w:rFonts w:ascii="微软雅黑" w:hAnsi="微软雅黑" w:eastAsia="微软雅黑" w:cs="微软雅黑"/>
          <w:color w:val="3B3838"/>
          <w:spacing w:val="-1"/>
          <w:sz w:val="28"/>
          <w:szCs w:val="28"/>
        </w:rPr>
      </w:pPr>
    </w:p>
    <w:p w14:paraId="0B7578E5">
      <w:pPr>
        <w:spacing w:before="141" w:line="184" w:lineRule="auto"/>
        <w:ind w:firstLine="834" w:firstLineChars="300"/>
        <w:jc w:val="left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color w:val="3B3838"/>
          <w:spacing w:val="-1"/>
          <w:sz w:val="28"/>
          <w:szCs w:val="28"/>
        </w:rPr>
        <w:t>综合报价</w:t>
      </w:r>
    </w:p>
    <w:p w14:paraId="263A4D48">
      <w:pPr>
        <w:spacing w:before="93" w:line="230" w:lineRule="auto"/>
        <w:ind w:left="454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color w:val="3B3838"/>
          <w:position w:val="-3"/>
          <w:sz w:val="28"/>
          <w:szCs w:val="28"/>
        </w:rPr>
        <w:drawing>
          <wp:inline distT="0" distB="0" distL="0" distR="0">
            <wp:extent cx="273050" cy="187960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3672" cy="18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color w:val="3B3838"/>
          <w:spacing w:val="31"/>
          <w:sz w:val="28"/>
          <w:szCs w:val="28"/>
        </w:rPr>
        <w:t xml:space="preserve">  </w:t>
      </w:r>
      <w:r>
        <w:rPr>
          <w:rFonts w:ascii="微软雅黑" w:hAnsi="微软雅黑" w:eastAsia="微软雅黑" w:cs="微软雅黑"/>
          <w:b/>
          <w:bCs/>
          <w:color w:val="3B3838"/>
          <w:spacing w:val="-14"/>
          <w:w w:val="97"/>
          <w:sz w:val="28"/>
          <w:szCs w:val="28"/>
        </w:rPr>
        <w:t>室内化学污染治理：5/8/9楼</w:t>
      </w:r>
    </w:p>
    <w:p w14:paraId="67203F58">
      <w:pPr>
        <w:spacing w:line="73" w:lineRule="exact"/>
      </w:pPr>
    </w:p>
    <w:tbl>
      <w:tblPr>
        <w:tblStyle w:val="5"/>
        <w:tblW w:w="10098" w:type="dxa"/>
        <w:tblInd w:w="79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3"/>
        <w:gridCol w:w="2097"/>
        <w:gridCol w:w="934"/>
        <w:gridCol w:w="2037"/>
        <w:gridCol w:w="2090"/>
        <w:gridCol w:w="1397"/>
      </w:tblGrid>
      <w:tr w14:paraId="2F4C4F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1543" w:type="dxa"/>
            <w:vAlign w:val="top"/>
          </w:tcPr>
          <w:p w14:paraId="2E6A318E">
            <w:pPr>
              <w:spacing w:line="344" w:lineRule="auto"/>
              <w:rPr>
                <w:rFonts w:ascii="Arial"/>
                <w:sz w:val="21"/>
              </w:rPr>
            </w:pPr>
          </w:p>
          <w:p w14:paraId="668FF085">
            <w:pPr>
              <w:pStyle w:val="6"/>
              <w:spacing w:before="77" w:line="191" w:lineRule="auto"/>
              <w:ind w:left="414"/>
            </w:pPr>
            <w:r>
              <w:rPr>
                <w:b/>
                <w:bCs/>
                <w:spacing w:val="6"/>
              </w:rPr>
              <w:t>净化方案</w:t>
            </w:r>
          </w:p>
        </w:tc>
        <w:tc>
          <w:tcPr>
            <w:tcW w:w="3031" w:type="dxa"/>
            <w:gridSpan w:val="2"/>
            <w:vAlign w:val="top"/>
          </w:tcPr>
          <w:p w14:paraId="5D237B44">
            <w:pPr>
              <w:spacing w:line="303" w:lineRule="auto"/>
              <w:rPr>
                <w:rFonts w:ascii="Arial"/>
                <w:sz w:val="21"/>
              </w:rPr>
            </w:pPr>
          </w:p>
          <w:p w14:paraId="3D082213">
            <w:pPr>
              <w:pStyle w:val="6"/>
              <w:spacing w:before="77" w:line="235" w:lineRule="auto"/>
              <w:ind w:left="673"/>
            </w:pPr>
            <w:r>
              <w:rPr>
                <w:b/>
                <w:bCs/>
                <w:spacing w:val="6"/>
              </w:rPr>
              <w:t>交付标准（二选一）</w:t>
            </w:r>
          </w:p>
        </w:tc>
        <w:tc>
          <w:tcPr>
            <w:tcW w:w="2037" w:type="dxa"/>
            <w:vAlign w:val="top"/>
          </w:tcPr>
          <w:p w14:paraId="0E35E8B5">
            <w:pPr>
              <w:spacing w:line="310" w:lineRule="auto"/>
              <w:rPr>
                <w:rFonts w:ascii="Arial"/>
                <w:sz w:val="21"/>
              </w:rPr>
            </w:pPr>
          </w:p>
          <w:p w14:paraId="59FAD85C">
            <w:pPr>
              <w:pStyle w:val="6"/>
              <w:spacing w:before="77" w:line="235" w:lineRule="auto"/>
              <w:ind w:left="460"/>
            </w:pPr>
            <w:r>
              <w:rPr>
                <w:b/>
                <w:bCs/>
                <w:spacing w:val="-5"/>
              </w:rPr>
              <w:t>建筑面积</w:t>
            </w:r>
            <w:r>
              <w:rPr>
                <w:b/>
                <w:bCs/>
                <w:spacing w:val="6"/>
              </w:rPr>
              <w:t xml:space="preserve">  </w:t>
            </w:r>
            <w:r>
              <w:rPr>
                <w:b/>
                <w:bCs/>
                <w:spacing w:val="-5"/>
              </w:rPr>
              <w:t>(㎡)</w:t>
            </w:r>
          </w:p>
        </w:tc>
        <w:tc>
          <w:tcPr>
            <w:tcW w:w="2090" w:type="dxa"/>
            <w:vAlign w:val="top"/>
          </w:tcPr>
          <w:p w14:paraId="311AD214">
            <w:pPr>
              <w:spacing w:line="310" w:lineRule="auto"/>
              <w:rPr>
                <w:rFonts w:ascii="Arial"/>
                <w:sz w:val="21"/>
              </w:rPr>
            </w:pPr>
          </w:p>
          <w:p w14:paraId="3EA9E6EB">
            <w:pPr>
              <w:pStyle w:val="6"/>
              <w:spacing w:before="77" w:line="235" w:lineRule="auto"/>
              <w:ind w:left="395"/>
            </w:pPr>
            <w:r>
              <w:rPr>
                <w:b/>
                <w:bCs/>
                <w:spacing w:val="-1"/>
              </w:rPr>
              <w:t>治理单价(元/㎡)</w:t>
            </w:r>
          </w:p>
        </w:tc>
        <w:tc>
          <w:tcPr>
            <w:tcW w:w="1397" w:type="dxa"/>
            <w:vAlign w:val="top"/>
          </w:tcPr>
          <w:p w14:paraId="239BFF70">
            <w:pPr>
              <w:spacing w:line="310" w:lineRule="auto"/>
              <w:rPr>
                <w:rFonts w:ascii="Arial"/>
                <w:sz w:val="21"/>
              </w:rPr>
            </w:pPr>
          </w:p>
          <w:p w14:paraId="67C0B9ED">
            <w:pPr>
              <w:pStyle w:val="6"/>
              <w:spacing w:before="77" w:line="235" w:lineRule="auto"/>
              <w:ind w:left="290"/>
            </w:pPr>
            <w:r>
              <w:rPr>
                <w:b/>
                <w:bCs/>
                <w:spacing w:val="1"/>
              </w:rPr>
              <w:t>总价 (元)</w:t>
            </w:r>
          </w:p>
        </w:tc>
      </w:tr>
      <w:tr w14:paraId="4BDD03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 w:hRule="atLeast"/>
        </w:trPr>
        <w:tc>
          <w:tcPr>
            <w:tcW w:w="1543" w:type="dxa"/>
            <w:vAlign w:val="top"/>
          </w:tcPr>
          <w:p w14:paraId="49079BE7">
            <w:pPr>
              <w:pStyle w:val="6"/>
              <w:spacing w:before="117" w:line="264" w:lineRule="auto"/>
              <w:ind w:left="5" w:right="355"/>
              <w:jc w:val="left"/>
            </w:pPr>
            <w:r>
              <w:rPr>
                <w:spacing w:val="6"/>
              </w:rPr>
              <w:t>浙大冰虫 纳米</w:t>
            </w:r>
            <w:r>
              <w:rPr>
                <w:spacing w:val="7"/>
              </w:rPr>
              <w:t>光触媒催化剂</w:t>
            </w:r>
          </w:p>
        </w:tc>
        <w:tc>
          <w:tcPr>
            <w:tcW w:w="3031" w:type="dxa"/>
            <w:gridSpan w:val="2"/>
            <w:vAlign w:val="top"/>
          </w:tcPr>
          <w:p w14:paraId="31AC48E0">
            <w:pPr>
              <w:spacing w:line="351" w:lineRule="auto"/>
              <w:jc w:val="left"/>
              <w:rPr>
                <w:rFonts w:ascii="Arial"/>
                <w:sz w:val="21"/>
              </w:rPr>
            </w:pPr>
          </w:p>
          <w:p w14:paraId="6695B32C">
            <w:pPr>
              <w:pStyle w:val="6"/>
              <w:spacing w:before="77" w:line="277" w:lineRule="auto"/>
              <w:ind w:left="551" w:right="543" w:firstLine="121"/>
              <w:jc w:val="left"/>
            </w:pPr>
            <w:r>
              <w:rPr>
                <w:spacing w:val="-6"/>
              </w:rPr>
              <w:t>GB 50325-2020</w:t>
            </w:r>
            <w:r>
              <w:rPr>
                <w:spacing w:val="40"/>
              </w:rPr>
              <w:t xml:space="preserve"> </w:t>
            </w:r>
            <w:r>
              <w:rPr>
                <w:spacing w:val="-6"/>
              </w:rPr>
              <w:t>Ⅰ类</w:t>
            </w:r>
            <w:r>
              <w:rPr>
                <w:spacing w:val="-5"/>
              </w:rPr>
              <w:t>（医院强制性验收标准）</w:t>
            </w:r>
          </w:p>
        </w:tc>
        <w:tc>
          <w:tcPr>
            <w:tcW w:w="2037" w:type="dxa"/>
            <w:vAlign w:val="top"/>
          </w:tcPr>
          <w:p w14:paraId="3713C57B">
            <w:pPr>
              <w:spacing w:line="263" w:lineRule="auto"/>
              <w:jc w:val="left"/>
              <w:rPr>
                <w:rFonts w:ascii="Arial"/>
                <w:sz w:val="21"/>
              </w:rPr>
            </w:pPr>
          </w:p>
          <w:p w14:paraId="1D04D68F">
            <w:pPr>
              <w:spacing w:line="263" w:lineRule="auto"/>
              <w:jc w:val="left"/>
              <w:rPr>
                <w:rFonts w:ascii="Arial"/>
                <w:sz w:val="21"/>
              </w:rPr>
            </w:pPr>
          </w:p>
          <w:p w14:paraId="78BB9B21">
            <w:pPr>
              <w:pStyle w:val="6"/>
              <w:spacing w:before="77" w:line="326" w:lineRule="exact"/>
              <w:ind w:left="734"/>
              <w:jc w:val="left"/>
            </w:pPr>
            <w:r>
              <w:rPr>
                <w:spacing w:val="-3"/>
                <w:position w:val="3"/>
              </w:rPr>
              <w:t>3750㎡</w:t>
            </w:r>
          </w:p>
        </w:tc>
        <w:tc>
          <w:tcPr>
            <w:tcW w:w="2090" w:type="dxa"/>
            <w:vAlign w:val="top"/>
          </w:tcPr>
          <w:p w14:paraId="012681D7">
            <w:pPr>
              <w:spacing w:line="263" w:lineRule="auto"/>
              <w:jc w:val="left"/>
              <w:rPr>
                <w:rFonts w:ascii="Arial"/>
                <w:sz w:val="21"/>
              </w:rPr>
            </w:pPr>
          </w:p>
          <w:p w14:paraId="3DA9FD6C">
            <w:pPr>
              <w:spacing w:line="264" w:lineRule="auto"/>
              <w:jc w:val="left"/>
              <w:rPr>
                <w:rFonts w:ascii="Arial"/>
                <w:sz w:val="21"/>
              </w:rPr>
            </w:pPr>
          </w:p>
          <w:p w14:paraId="17CBB9B1">
            <w:pPr>
              <w:pStyle w:val="6"/>
              <w:spacing w:before="77" w:line="236" w:lineRule="auto"/>
              <w:ind w:left="784"/>
              <w:jc w:val="left"/>
            </w:pPr>
          </w:p>
        </w:tc>
        <w:tc>
          <w:tcPr>
            <w:tcW w:w="1397" w:type="dxa"/>
            <w:vAlign w:val="top"/>
          </w:tcPr>
          <w:p w14:paraId="2F030D55">
            <w:pPr>
              <w:spacing w:line="263" w:lineRule="auto"/>
              <w:jc w:val="left"/>
              <w:rPr>
                <w:rFonts w:ascii="Arial"/>
                <w:sz w:val="21"/>
              </w:rPr>
            </w:pPr>
          </w:p>
          <w:p w14:paraId="681FAC94">
            <w:pPr>
              <w:spacing w:line="264" w:lineRule="auto"/>
              <w:jc w:val="left"/>
              <w:rPr>
                <w:rFonts w:ascii="Arial"/>
                <w:sz w:val="21"/>
              </w:rPr>
            </w:pPr>
          </w:p>
          <w:p w14:paraId="583B5DDE">
            <w:pPr>
              <w:pStyle w:val="6"/>
              <w:spacing w:before="77" w:line="236" w:lineRule="auto"/>
              <w:ind w:left="361"/>
              <w:jc w:val="left"/>
            </w:pPr>
          </w:p>
        </w:tc>
      </w:tr>
      <w:tr w14:paraId="50BCC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0098" w:type="dxa"/>
            <w:gridSpan w:val="6"/>
            <w:vAlign w:val="top"/>
          </w:tcPr>
          <w:p w14:paraId="69DB63B5">
            <w:pPr>
              <w:spacing w:line="242" w:lineRule="auto"/>
              <w:rPr>
                <w:rFonts w:ascii="Arial"/>
                <w:sz w:val="21"/>
              </w:rPr>
            </w:pPr>
          </w:p>
          <w:p w14:paraId="2E05EF28">
            <w:pPr>
              <w:pStyle w:val="6"/>
              <w:spacing w:before="78" w:line="191" w:lineRule="auto"/>
              <w:ind w:left="241"/>
            </w:pPr>
            <w:r>
              <w:rPr>
                <w:spacing w:val="1"/>
              </w:rPr>
              <w:t>五年质保</w:t>
            </w:r>
          </w:p>
        </w:tc>
      </w:tr>
      <w:tr w14:paraId="6314DE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098" w:type="dxa"/>
            <w:gridSpan w:val="6"/>
            <w:vAlign w:val="top"/>
          </w:tcPr>
          <w:p w14:paraId="7A8EC4B2">
            <w:pPr>
              <w:spacing w:line="245" w:lineRule="auto"/>
              <w:rPr>
                <w:rFonts w:ascii="Arial"/>
                <w:sz w:val="21"/>
              </w:rPr>
            </w:pPr>
          </w:p>
          <w:p w14:paraId="7AE9B57B">
            <w:pPr>
              <w:pStyle w:val="6"/>
              <w:spacing w:before="77" w:line="191" w:lineRule="auto"/>
              <w:ind w:left="244"/>
            </w:pPr>
            <w:r>
              <w:rPr>
                <w:spacing w:val="2"/>
              </w:rPr>
              <w:t>工程内容：  对室内的甲醛、苯、</w:t>
            </w:r>
            <w:r>
              <w:rPr>
                <w:spacing w:val="16"/>
              </w:rPr>
              <w:t xml:space="preserve"> </w:t>
            </w:r>
            <w:r>
              <w:rPr>
                <w:spacing w:val="2"/>
              </w:rPr>
              <w:t>甲苯、二甲苯、</w:t>
            </w:r>
            <w:r>
              <w:t>TVOC</w:t>
            </w:r>
            <w:r>
              <w:rPr>
                <w:spacing w:val="-25"/>
              </w:rPr>
              <w:t xml:space="preserve"> </w:t>
            </w:r>
            <w:r>
              <w:rPr>
                <w:spacing w:val="2"/>
              </w:rPr>
              <w:t>有害气体进行</w:t>
            </w:r>
            <w:r>
              <w:rPr>
                <w:spacing w:val="1"/>
              </w:rPr>
              <w:t>全面治理。</w:t>
            </w:r>
          </w:p>
        </w:tc>
      </w:tr>
      <w:tr w14:paraId="05B8AE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9" w:hRule="atLeast"/>
        </w:trPr>
        <w:tc>
          <w:tcPr>
            <w:tcW w:w="1543" w:type="dxa"/>
            <w:vAlign w:val="top"/>
          </w:tcPr>
          <w:p w14:paraId="5128F7B1">
            <w:pPr>
              <w:spacing w:line="263" w:lineRule="auto"/>
              <w:rPr>
                <w:rFonts w:ascii="Arial"/>
                <w:sz w:val="21"/>
              </w:rPr>
            </w:pPr>
          </w:p>
          <w:p w14:paraId="6ECCC431">
            <w:pPr>
              <w:spacing w:line="263" w:lineRule="auto"/>
              <w:rPr>
                <w:rFonts w:ascii="Arial"/>
                <w:sz w:val="21"/>
              </w:rPr>
            </w:pPr>
          </w:p>
          <w:p w14:paraId="65E97CA6">
            <w:pPr>
              <w:spacing w:line="264" w:lineRule="auto"/>
              <w:rPr>
                <w:rFonts w:ascii="Arial"/>
                <w:sz w:val="21"/>
              </w:rPr>
            </w:pPr>
          </w:p>
          <w:p w14:paraId="7372E2DB">
            <w:pPr>
              <w:pStyle w:val="6"/>
              <w:spacing w:before="77" w:line="190" w:lineRule="auto"/>
              <w:ind w:left="633"/>
            </w:pPr>
            <w:r>
              <w:rPr>
                <w:spacing w:val="1"/>
              </w:rPr>
              <w:t>污染物</w:t>
            </w:r>
          </w:p>
        </w:tc>
        <w:tc>
          <w:tcPr>
            <w:tcW w:w="2097" w:type="dxa"/>
            <w:vAlign w:val="top"/>
          </w:tcPr>
          <w:p w14:paraId="09F3BFB2">
            <w:pPr>
              <w:spacing w:line="262" w:lineRule="auto"/>
              <w:rPr>
                <w:rFonts w:ascii="Arial"/>
                <w:sz w:val="21"/>
              </w:rPr>
            </w:pPr>
          </w:p>
          <w:p w14:paraId="4A080237">
            <w:pPr>
              <w:spacing w:line="263" w:lineRule="auto"/>
              <w:rPr>
                <w:rFonts w:ascii="Arial"/>
                <w:sz w:val="21"/>
              </w:rPr>
            </w:pPr>
            <w:bookmarkStart w:id="0" w:name="_GoBack"/>
            <w:bookmarkEnd w:id="0"/>
          </w:p>
          <w:p w14:paraId="259815BF">
            <w:pPr>
              <w:spacing w:line="263" w:lineRule="auto"/>
              <w:rPr>
                <w:rFonts w:ascii="Arial"/>
                <w:sz w:val="21"/>
              </w:rPr>
            </w:pPr>
          </w:p>
          <w:p w14:paraId="2B02CE24">
            <w:pPr>
              <w:pStyle w:val="6"/>
              <w:spacing w:before="78" w:line="191" w:lineRule="auto"/>
              <w:ind w:left="1123"/>
            </w:pPr>
            <w:r>
              <w:rPr>
                <w:spacing w:val="3"/>
              </w:rPr>
              <w:t>单位</w:t>
            </w:r>
          </w:p>
        </w:tc>
        <w:tc>
          <w:tcPr>
            <w:tcW w:w="6458" w:type="dxa"/>
            <w:gridSpan w:val="4"/>
            <w:vAlign w:val="top"/>
          </w:tcPr>
          <w:p w14:paraId="4ACCF37E">
            <w:pPr>
              <w:spacing w:line="251" w:lineRule="auto"/>
              <w:rPr>
                <w:rFonts w:ascii="Arial"/>
                <w:sz w:val="21"/>
              </w:rPr>
            </w:pPr>
          </w:p>
          <w:p w14:paraId="1F17AA54">
            <w:pPr>
              <w:spacing w:line="251" w:lineRule="auto"/>
              <w:rPr>
                <w:rFonts w:ascii="Arial"/>
                <w:sz w:val="21"/>
              </w:rPr>
            </w:pPr>
          </w:p>
          <w:p w14:paraId="49855391">
            <w:pPr>
              <w:spacing w:line="252" w:lineRule="auto"/>
              <w:rPr>
                <w:rFonts w:ascii="Arial"/>
                <w:sz w:val="21"/>
              </w:rPr>
            </w:pPr>
          </w:p>
          <w:p w14:paraId="5C0B209D">
            <w:pPr>
              <w:pStyle w:val="6"/>
              <w:spacing w:before="77" w:line="231" w:lineRule="auto"/>
              <w:ind w:left="1391"/>
            </w:pPr>
            <w:r>
              <w:rPr>
                <w:spacing w:val="-5"/>
              </w:rPr>
              <w:t>GB50325-2020Ⅰ类</w:t>
            </w:r>
            <w:r>
              <w:rPr>
                <w:spacing w:val="-25"/>
              </w:rPr>
              <w:t xml:space="preserve"> </w:t>
            </w:r>
            <w:r>
              <w:rPr>
                <w:spacing w:val="-5"/>
              </w:rPr>
              <w:t>标准限值（医院强制</w:t>
            </w:r>
            <w:r>
              <w:rPr>
                <w:spacing w:val="-6"/>
              </w:rPr>
              <w:t>标准）</w:t>
            </w:r>
          </w:p>
        </w:tc>
      </w:tr>
      <w:tr w14:paraId="6C6CF9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543" w:type="dxa"/>
            <w:vAlign w:val="top"/>
          </w:tcPr>
          <w:p w14:paraId="03C5FF39">
            <w:pPr>
              <w:spacing w:line="249" w:lineRule="auto"/>
              <w:rPr>
                <w:rFonts w:ascii="Arial"/>
                <w:sz w:val="21"/>
              </w:rPr>
            </w:pPr>
          </w:p>
          <w:p w14:paraId="5148877B">
            <w:pPr>
              <w:pStyle w:val="6"/>
              <w:spacing w:before="77" w:line="187" w:lineRule="auto"/>
              <w:ind w:left="612"/>
            </w:pPr>
            <w:r>
              <w:rPr>
                <w:spacing w:val="-6"/>
              </w:rPr>
              <w:t>甲醛</w:t>
            </w:r>
          </w:p>
        </w:tc>
        <w:tc>
          <w:tcPr>
            <w:tcW w:w="2097" w:type="dxa"/>
            <w:vAlign w:val="top"/>
          </w:tcPr>
          <w:p w14:paraId="5E53E71C">
            <w:pPr>
              <w:pStyle w:val="6"/>
              <w:spacing w:before="266" w:line="219" w:lineRule="auto"/>
              <w:ind w:left="607"/>
            </w:pPr>
            <w:r>
              <w:rPr>
                <w:spacing w:val="-2"/>
              </w:rPr>
              <w:t>mg/m³</w:t>
            </w:r>
          </w:p>
        </w:tc>
        <w:tc>
          <w:tcPr>
            <w:tcW w:w="6458" w:type="dxa"/>
            <w:gridSpan w:val="4"/>
            <w:vAlign w:val="top"/>
          </w:tcPr>
          <w:p w14:paraId="65397077">
            <w:pPr>
              <w:pStyle w:val="6"/>
              <w:spacing w:before="270" w:line="326" w:lineRule="exact"/>
              <w:ind w:left="3051"/>
            </w:pPr>
            <w:r>
              <w:rPr>
                <w:spacing w:val="-1"/>
                <w:position w:val="3"/>
              </w:rPr>
              <w:t>0.07</w:t>
            </w:r>
          </w:p>
        </w:tc>
      </w:tr>
      <w:tr w14:paraId="220EF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543" w:type="dxa"/>
            <w:vAlign w:val="top"/>
          </w:tcPr>
          <w:p w14:paraId="1F8B40DD">
            <w:pPr>
              <w:spacing w:line="241" w:lineRule="auto"/>
              <w:rPr>
                <w:rFonts w:ascii="Arial"/>
                <w:sz w:val="21"/>
              </w:rPr>
            </w:pPr>
          </w:p>
          <w:p w14:paraId="2CCCD041">
            <w:pPr>
              <w:pStyle w:val="6"/>
              <w:spacing w:before="77" w:line="190" w:lineRule="auto"/>
              <w:ind w:left="675"/>
            </w:pPr>
            <w:r>
              <w:rPr>
                <w:spacing w:val="7"/>
              </w:rPr>
              <w:t>苯</w:t>
            </w:r>
          </w:p>
        </w:tc>
        <w:tc>
          <w:tcPr>
            <w:tcW w:w="2097" w:type="dxa"/>
            <w:vAlign w:val="top"/>
          </w:tcPr>
          <w:p w14:paraId="079D0798">
            <w:pPr>
              <w:pStyle w:val="6"/>
              <w:spacing w:before="265" w:line="219" w:lineRule="auto"/>
              <w:ind w:left="607"/>
            </w:pPr>
            <w:r>
              <w:rPr>
                <w:spacing w:val="-2"/>
              </w:rPr>
              <w:t>mg/m³</w:t>
            </w:r>
          </w:p>
        </w:tc>
        <w:tc>
          <w:tcPr>
            <w:tcW w:w="6458" w:type="dxa"/>
            <w:gridSpan w:val="4"/>
            <w:vAlign w:val="top"/>
          </w:tcPr>
          <w:p w14:paraId="10DD9417">
            <w:pPr>
              <w:pStyle w:val="6"/>
              <w:spacing w:before="269" w:line="326" w:lineRule="exact"/>
              <w:ind w:left="3051"/>
            </w:pPr>
            <w:r>
              <w:rPr>
                <w:spacing w:val="-1"/>
                <w:position w:val="3"/>
              </w:rPr>
              <w:t>0.06</w:t>
            </w:r>
          </w:p>
        </w:tc>
      </w:tr>
      <w:tr w14:paraId="1FE90A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543" w:type="dxa"/>
            <w:vAlign w:val="top"/>
          </w:tcPr>
          <w:p w14:paraId="697C7E2A">
            <w:pPr>
              <w:spacing w:line="244" w:lineRule="auto"/>
              <w:rPr>
                <w:rFonts w:ascii="Arial"/>
                <w:sz w:val="21"/>
              </w:rPr>
            </w:pPr>
          </w:p>
          <w:p w14:paraId="2C9C482E">
            <w:pPr>
              <w:pStyle w:val="6"/>
              <w:spacing w:before="77" w:line="190" w:lineRule="auto"/>
              <w:ind w:left="612"/>
            </w:pPr>
            <w:r>
              <w:rPr>
                <w:spacing w:val="-6"/>
              </w:rPr>
              <w:t>甲苯</w:t>
            </w:r>
          </w:p>
        </w:tc>
        <w:tc>
          <w:tcPr>
            <w:tcW w:w="2097" w:type="dxa"/>
            <w:vAlign w:val="top"/>
          </w:tcPr>
          <w:p w14:paraId="7B60D706">
            <w:pPr>
              <w:pStyle w:val="6"/>
              <w:spacing w:before="265" w:line="219" w:lineRule="auto"/>
              <w:ind w:left="607"/>
            </w:pPr>
            <w:r>
              <w:rPr>
                <w:spacing w:val="-2"/>
              </w:rPr>
              <w:t>mg/m³</w:t>
            </w:r>
          </w:p>
        </w:tc>
        <w:tc>
          <w:tcPr>
            <w:tcW w:w="6458" w:type="dxa"/>
            <w:gridSpan w:val="4"/>
            <w:vAlign w:val="top"/>
          </w:tcPr>
          <w:p w14:paraId="523B2B81">
            <w:pPr>
              <w:pStyle w:val="6"/>
              <w:spacing w:before="269" w:line="326" w:lineRule="exact"/>
              <w:ind w:left="3051"/>
            </w:pPr>
            <w:r>
              <w:rPr>
                <w:spacing w:val="-1"/>
                <w:position w:val="3"/>
              </w:rPr>
              <w:t>0.15</w:t>
            </w:r>
          </w:p>
        </w:tc>
      </w:tr>
      <w:tr w14:paraId="593C31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543" w:type="dxa"/>
            <w:vAlign w:val="top"/>
          </w:tcPr>
          <w:p w14:paraId="6B15CBDD">
            <w:pPr>
              <w:spacing w:line="243" w:lineRule="auto"/>
              <w:rPr>
                <w:rFonts w:ascii="Arial"/>
                <w:sz w:val="21"/>
              </w:rPr>
            </w:pPr>
          </w:p>
          <w:p w14:paraId="43362703">
            <w:pPr>
              <w:pStyle w:val="6"/>
              <w:spacing w:before="77" w:line="190" w:lineRule="auto"/>
              <w:ind w:left="496"/>
            </w:pPr>
            <w:r>
              <w:rPr>
                <w:spacing w:val="5"/>
              </w:rPr>
              <w:t>二甲苯</w:t>
            </w:r>
          </w:p>
        </w:tc>
        <w:tc>
          <w:tcPr>
            <w:tcW w:w="2097" w:type="dxa"/>
            <w:vAlign w:val="top"/>
          </w:tcPr>
          <w:p w14:paraId="30E8E04E">
            <w:pPr>
              <w:pStyle w:val="6"/>
              <w:spacing w:before="264" w:line="219" w:lineRule="auto"/>
              <w:ind w:left="607"/>
            </w:pPr>
            <w:r>
              <w:rPr>
                <w:spacing w:val="-2"/>
              </w:rPr>
              <w:t>mg/m³</w:t>
            </w:r>
          </w:p>
        </w:tc>
        <w:tc>
          <w:tcPr>
            <w:tcW w:w="6458" w:type="dxa"/>
            <w:gridSpan w:val="4"/>
            <w:vAlign w:val="top"/>
          </w:tcPr>
          <w:p w14:paraId="22F08E7C">
            <w:pPr>
              <w:pStyle w:val="6"/>
              <w:spacing w:before="268" w:line="326" w:lineRule="exact"/>
              <w:ind w:left="3051"/>
            </w:pPr>
            <w:r>
              <w:rPr>
                <w:position w:val="3"/>
              </w:rPr>
              <w:t>0.20</w:t>
            </w:r>
          </w:p>
        </w:tc>
      </w:tr>
      <w:tr w14:paraId="546FEC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543" w:type="dxa"/>
            <w:vAlign w:val="top"/>
          </w:tcPr>
          <w:p w14:paraId="6607BE04">
            <w:pPr>
              <w:spacing w:line="262" w:lineRule="auto"/>
              <w:rPr>
                <w:rFonts w:ascii="Arial"/>
                <w:sz w:val="21"/>
              </w:rPr>
            </w:pPr>
          </w:p>
          <w:p w14:paraId="73BBB79A">
            <w:pPr>
              <w:pStyle w:val="6"/>
              <w:spacing w:before="78" w:line="180" w:lineRule="auto"/>
              <w:ind w:left="518"/>
            </w:pPr>
            <w:r>
              <w:rPr>
                <w:spacing w:val="4"/>
              </w:rPr>
              <w:t>TVOC</w:t>
            </w:r>
          </w:p>
        </w:tc>
        <w:tc>
          <w:tcPr>
            <w:tcW w:w="2097" w:type="dxa"/>
            <w:vAlign w:val="top"/>
          </w:tcPr>
          <w:p w14:paraId="66EB8689">
            <w:pPr>
              <w:pStyle w:val="6"/>
              <w:spacing w:before="265" w:line="219" w:lineRule="auto"/>
              <w:ind w:left="607"/>
            </w:pPr>
            <w:r>
              <w:rPr>
                <w:spacing w:val="-2"/>
              </w:rPr>
              <w:t>mg/m³</w:t>
            </w:r>
          </w:p>
        </w:tc>
        <w:tc>
          <w:tcPr>
            <w:tcW w:w="6458" w:type="dxa"/>
            <w:gridSpan w:val="4"/>
            <w:vAlign w:val="top"/>
          </w:tcPr>
          <w:p w14:paraId="049F5A93">
            <w:pPr>
              <w:pStyle w:val="6"/>
              <w:spacing w:before="269" w:line="326" w:lineRule="exact"/>
              <w:ind w:left="3051"/>
            </w:pPr>
            <w:r>
              <w:rPr>
                <w:spacing w:val="-1"/>
                <w:position w:val="3"/>
              </w:rPr>
              <w:t>0.45</w:t>
            </w:r>
          </w:p>
        </w:tc>
      </w:tr>
      <w:tr w14:paraId="1AB355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" w:hRule="atLeast"/>
        </w:trPr>
        <w:tc>
          <w:tcPr>
            <w:tcW w:w="10098" w:type="dxa"/>
            <w:gridSpan w:val="6"/>
            <w:vAlign w:val="top"/>
          </w:tcPr>
          <w:p w14:paraId="223E4F08">
            <w:pPr>
              <w:spacing w:line="303" w:lineRule="auto"/>
              <w:rPr>
                <w:rFonts w:ascii="Arial"/>
                <w:sz w:val="21"/>
              </w:rPr>
            </w:pPr>
          </w:p>
          <w:p w14:paraId="3B9F41C9">
            <w:pPr>
              <w:pStyle w:val="6"/>
              <w:spacing w:before="78" w:line="359" w:lineRule="auto"/>
              <w:ind w:left="3" w:firstLine="8"/>
            </w:pPr>
            <w:r>
              <w:rPr>
                <w:spacing w:val="2"/>
              </w:rPr>
              <w:t>时间安排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：治理需要约一整天时间</w:t>
            </w:r>
            <w:r>
              <w:rPr>
                <w:spacing w:val="-30"/>
              </w:rPr>
              <w:t xml:space="preserve"> </w:t>
            </w:r>
            <w:r>
              <w:rPr>
                <w:spacing w:val="2"/>
              </w:rPr>
              <w:t>，通风3</w:t>
            </w:r>
            <w:r>
              <w:rPr>
                <w:rFonts w:hint="eastAsia"/>
                <w:spacing w:val="2"/>
                <w:lang w:val="en-US" w:eastAsia="zh-CN"/>
              </w:rPr>
              <w:t>-</w:t>
            </w:r>
            <w:r>
              <w:rPr>
                <w:spacing w:val="2"/>
              </w:rPr>
              <w:t>5天后安排复检</w:t>
            </w:r>
            <w:r>
              <w:rPr>
                <w:spacing w:val="-30"/>
              </w:rPr>
              <w:t xml:space="preserve"> </w:t>
            </w:r>
            <w:r>
              <w:rPr>
                <w:spacing w:val="2"/>
              </w:rPr>
              <w:t>， 检测报告5个工作日出， 整个</w:t>
            </w:r>
            <w:r>
              <w:rPr>
                <w:spacing w:val="1"/>
              </w:rPr>
              <w:t>流程预计10天，若有不合格的区域</w:t>
            </w:r>
            <w:r>
              <w:rPr>
                <w:rFonts w:hint="eastAsia"/>
                <w:spacing w:val="1"/>
                <w:lang w:val="en-US" w:eastAsia="zh-CN"/>
              </w:rPr>
              <w:t>需</w:t>
            </w:r>
            <w:r>
              <w:rPr>
                <w:spacing w:val="1"/>
              </w:rPr>
              <w:t>重新强化后再次复检。</w:t>
            </w:r>
          </w:p>
        </w:tc>
      </w:tr>
      <w:tr w14:paraId="5DDD75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0098" w:type="dxa"/>
            <w:gridSpan w:val="6"/>
            <w:vAlign w:val="top"/>
          </w:tcPr>
          <w:p w14:paraId="64038BCB">
            <w:pPr>
              <w:pStyle w:val="6"/>
              <w:spacing w:before="230" w:line="192" w:lineRule="auto"/>
              <w:ind w:left="1"/>
            </w:pPr>
            <w:r>
              <w:rPr>
                <w:spacing w:val="1"/>
              </w:rPr>
              <w:t>备注:空气治理后的3-5天，</w:t>
            </w:r>
            <w:r>
              <w:rPr>
                <w:rFonts w:hint="eastAsia"/>
                <w:spacing w:val="1"/>
                <w:lang w:val="en-US" w:eastAsia="zh-CN"/>
              </w:rPr>
              <w:t>需</w:t>
            </w:r>
            <w:r>
              <w:rPr>
                <w:spacing w:val="1"/>
              </w:rPr>
              <w:t>委托第三方检测结构检测出具CNAS报告。每层楼5个点，合计15个点。</w:t>
            </w:r>
          </w:p>
        </w:tc>
      </w:tr>
    </w:tbl>
    <w:p w14:paraId="164C0C0D">
      <w:pPr>
        <w:pStyle w:val="2"/>
      </w:pPr>
    </w:p>
    <w:sectPr>
      <w:headerReference r:id="rId5" w:type="default"/>
      <w:pgSz w:w="11906" w:h="16840"/>
      <w:pgMar w:top="400" w:right="1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2644E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B4F55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1528</Words>
  <Characters>1641</Characters>
  <TotalTime>7</TotalTime>
  <ScaleCrop>false</ScaleCrop>
  <LinksUpToDate>false</LinksUpToDate>
  <CharactersWithSpaces>1841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2026-07-07T19:13:00Z</dcterms:created>
  <dc:creator>吸血鬼丶1388164062</dc:creator>
  <cp:lastModifiedBy>Mr.爽</cp:lastModifiedBy>
  <dcterms:modified xsi:type="dcterms:W3CDTF">2026-07-08T03:04:01Z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2026-07-08T10:07:45Z</vt:filetime>
  </property>
  <property fmtid="{D5CDD505-2E9C-101B-9397-08002B2CF9AE}" pid="4" name="KSOTemplateDocerSaveRecord">
    <vt:lpwstr>eyJoZGlkIjoiN2RlMzJiNTUxZTkxNGFkYTMwZjk3N2JiOWNkZGE5MGEiLCJ1c2VySWQiOiI4Mzg1NDg2ODkifQ==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00EB57DD1E02476CB85F5AFAC982A1F2_13</vt:lpwstr>
  </property>
</Properties>
</file>