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6502D">
      <w:pPr>
        <w:jc w:val="both"/>
        <w:rPr>
          <w:rFonts w:hint="eastAsia" w:ascii="宋体" w:hAnsi="宋体" w:eastAsia="宋体" w:cs="宋体"/>
          <w:b/>
          <w:bCs/>
          <w:sz w:val="21"/>
          <w:szCs w:val="21"/>
          <w:lang w:val="en-US" w:eastAsia="zh-CN" w:bidi="ar"/>
        </w:rPr>
      </w:pPr>
      <w:r>
        <w:rPr>
          <w:rFonts w:hint="eastAsia" w:ascii="宋体" w:hAnsi="宋体" w:eastAsia="宋体" w:cs="宋体"/>
          <w:b/>
          <w:bCs/>
          <w:sz w:val="21"/>
          <w:szCs w:val="21"/>
          <w:lang w:val="en-US" w:eastAsia="zh-CN" w:bidi="ar"/>
        </w:rPr>
        <w:t>附件1：采购需求：</w:t>
      </w:r>
    </w:p>
    <w:p w14:paraId="5F213BF8">
      <w:pPr>
        <w:jc w:val="center"/>
        <w:rPr>
          <w:rFonts w:hint="eastAsia" w:ascii="宋体" w:hAnsi="宋体" w:eastAsia="宋体" w:cs="宋体"/>
          <w:b/>
          <w:bCs/>
          <w:sz w:val="21"/>
          <w:szCs w:val="21"/>
          <w:lang w:val="en-US" w:eastAsia="zh-CN" w:bidi="ar"/>
        </w:rPr>
      </w:pPr>
      <w:r>
        <w:rPr>
          <w:rFonts w:hint="eastAsia" w:ascii="宋体" w:hAnsi="宋体" w:eastAsia="宋体" w:cs="宋体"/>
          <w:b/>
          <w:bCs/>
          <w:sz w:val="21"/>
          <w:szCs w:val="21"/>
          <w:lang w:val="en-US" w:eastAsia="zh-CN" w:bidi="ar"/>
        </w:rPr>
        <w:t>技术需求</w:t>
      </w:r>
    </w:p>
    <w:p w14:paraId="44767C9D">
      <w:pPr>
        <w:rPr>
          <w:rFonts w:hint="eastAsia" w:ascii="宋体" w:hAnsi="宋体" w:eastAsia="宋体" w:cs="宋体"/>
          <w:b/>
          <w:bCs/>
          <w:sz w:val="21"/>
          <w:szCs w:val="21"/>
          <w:lang w:bidi="ar"/>
        </w:rPr>
      </w:pPr>
      <w:r>
        <w:rPr>
          <w:rFonts w:hint="eastAsia" w:ascii="宋体" w:hAnsi="宋体" w:eastAsia="宋体" w:cs="宋体"/>
          <w:b/>
          <w:bCs/>
          <w:sz w:val="21"/>
          <w:szCs w:val="21"/>
          <w:lang w:bidi="ar"/>
        </w:rPr>
        <w:t>一、项目概况</w:t>
      </w:r>
    </w:p>
    <w:p w14:paraId="6CE32D1B">
      <w:pPr>
        <w:pStyle w:val="5"/>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0" w:leftChars="0" w:firstLine="420" w:firstLineChars="200"/>
        <w:textAlignment w:val="auto"/>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项目名称：深圳大学总医院2026年专项债申报和发行咨询服务；</w:t>
      </w:r>
    </w:p>
    <w:p w14:paraId="1D983ABA">
      <w:pPr>
        <w:pStyle w:val="5"/>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0" w:leftChars="0" w:firstLine="420" w:firstLineChars="200"/>
        <w:textAlignment w:val="auto"/>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项目地点：深圳市南山区学苑大道1298号深圳大学总医院；</w:t>
      </w:r>
    </w:p>
    <w:p w14:paraId="35C100A2">
      <w:pPr>
        <w:pStyle w:val="5"/>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0" w:leftChars="0" w:firstLine="420" w:firstLineChars="200"/>
        <w:textAlignment w:val="auto"/>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服务时间：本项目为长期服务类项目，本次采购服务期限为自合同签订之日起一年，服务期结束前，采购人根据项目需求和中标人的履约考评情况决定协议到期是否续签，合同一年一签，总服务期限最长不得超过三十六个月 。</w:t>
      </w:r>
    </w:p>
    <w:p w14:paraId="09A74A95">
      <w:pPr>
        <w:pStyle w:val="5"/>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0" w:leftChars="0" w:firstLine="420" w:firstLineChars="200"/>
        <w:textAlignment w:val="auto"/>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项目基本情况：为保障深圳大学总医院二期建设项目、深圳大学总医院口腔中心建设项目2个专项债项目的申报和发行工作顺利进行，按照市发改委和市财政局的要求，需专业咨询服务机构为我院两项目提供全过程的专项债申报和发行咨询服务。</w:t>
      </w:r>
    </w:p>
    <w:p w14:paraId="25F7CA82">
      <w:pPr>
        <w:rPr>
          <w:rFonts w:hint="eastAsia" w:ascii="宋体" w:hAnsi="宋体" w:eastAsia="宋体" w:cs="宋体"/>
          <w:b w:val="0"/>
          <w:bCs w:val="0"/>
          <w:sz w:val="21"/>
          <w:szCs w:val="21"/>
          <w:lang w:val="en-US" w:eastAsia="zh-CN" w:bidi="ar"/>
        </w:rPr>
      </w:pPr>
      <w:r>
        <w:rPr>
          <w:rFonts w:hint="eastAsia" w:ascii="仿宋" w:hAnsi="仿宋" w:eastAsia="仿宋" w:cs="仿宋"/>
          <w:color w:val="000000"/>
          <w:sz w:val="22"/>
          <w:szCs w:val="22"/>
          <w:lang w:eastAsia="zh-CN"/>
        </w:rPr>
        <w:t>二、</w:t>
      </w:r>
      <w:r>
        <w:rPr>
          <w:rFonts w:hint="eastAsia" w:ascii="宋体" w:hAnsi="宋体" w:eastAsia="宋体" w:cs="宋体"/>
          <w:b/>
          <w:bCs/>
          <w:sz w:val="21"/>
          <w:szCs w:val="21"/>
          <w:lang w:bidi="ar"/>
        </w:rPr>
        <w:t>服务内容</w:t>
      </w:r>
    </w:p>
    <w:p w14:paraId="7E977EEB">
      <w:pPr>
        <w:pStyle w:val="5"/>
        <w:keepNext w:val="0"/>
        <w:keepLines w:val="0"/>
        <w:pageBreakBefore w:val="0"/>
        <w:widowControl w:val="0"/>
        <w:numPr>
          <w:ilvl w:val="0"/>
          <w:numId w:val="2"/>
        </w:numPr>
        <w:kinsoku/>
        <w:wordWrap/>
        <w:overflowPunct/>
        <w:topLinePunct w:val="0"/>
        <w:autoSpaceDE/>
        <w:autoSpaceDN/>
        <w:bidi w:val="0"/>
        <w:adjustRightInd/>
        <w:snapToGrid/>
        <w:spacing w:line="240" w:lineRule="atLeast"/>
        <w:ind w:left="0" w:leftChars="0" w:firstLine="420" w:firstLineChars="200"/>
        <w:textAlignment w:val="auto"/>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申报债券前，提供专项债券申报咨询服务，编制申报时所需实施方案并按时正式向甲方提交，协助甲方完成申报工作；</w:t>
      </w:r>
    </w:p>
    <w:p w14:paraId="4508CF57">
      <w:pPr>
        <w:pStyle w:val="5"/>
        <w:keepNext w:val="0"/>
        <w:keepLines w:val="0"/>
        <w:pageBreakBefore w:val="0"/>
        <w:widowControl w:val="0"/>
        <w:numPr>
          <w:ilvl w:val="0"/>
          <w:numId w:val="2"/>
        </w:numPr>
        <w:kinsoku/>
        <w:wordWrap/>
        <w:overflowPunct/>
        <w:topLinePunct w:val="0"/>
        <w:autoSpaceDE/>
        <w:autoSpaceDN/>
        <w:bidi w:val="0"/>
        <w:adjustRightInd/>
        <w:snapToGrid/>
        <w:spacing w:line="240" w:lineRule="atLeast"/>
        <w:ind w:left="0" w:leftChars="0" w:firstLine="420" w:firstLineChars="200"/>
        <w:textAlignment w:val="auto"/>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项目方案的设计；</w:t>
      </w:r>
    </w:p>
    <w:p w14:paraId="5D8C8540">
      <w:pPr>
        <w:pStyle w:val="5"/>
        <w:keepNext w:val="0"/>
        <w:keepLines w:val="0"/>
        <w:pageBreakBefore w:val="0"/>
        <w:widowControl w:val="0"/>
        <w:numPr>
          <w:ilvl w:val="0"/>
          <w:numId w:val="2"/>
        </w:numPr>
        <w:kinsoku/>
        <w:wordWrap/>
        <w:overflowPunct/>
        <w:topLinePunct w:val="0"/>
        <w:autoSpaceDE/>
        <w:autoSpaceDN/>
        <w:bidi w:val="0"/>
        <w:adjustRightInd/>
        <w:snapToGrid/>
        <w:spacing w:line="240" w:lineRule="atLeast"/>
        <w:ind w:left="0" w:leftChars="0" w:firstLine="420" w:firstLineChars="200"/>
        <w:textAlignment w:val="auto"/>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项目资金平衡测算、编写《项目实施方案》、信息披露表等相关文件；</w:t>
      </w:r>
    </w:p>
    <w:p w14:paraId="261EECDF">
      <w:pPr>
        <w:pStyle w:val="5"/>
        <w:keepNext w:val="0"/>
        <w:keepLines w:val="0"/>
        <w:pageBreakBefore w:val="0"/>
        <w:widowControl w:val="0"/>
        <w:numPr>
          <w:ilvl w:val="0"/>
          <w:numId w:val="2"/>
        </w:numPr>
        <w:kinsoku/>
        <w:wordWrap/>
        <w:overflowPunct/>
        <w:topLinePunct w:val="0"/>
        <w:autoSpaceDE/>
        <w:autoSpaceDN/>
        <w:bidi w:val="0"/>
        <w:adjustRightInd/>
        <w:snapToGrid/>
        <w:spacing w:line="240" w:lineRule="atLeast"/>
        <w:ind w:left="0" w:leftChars="0" w:firstLine="420" w:firstLineChars="200"/>
        <w:textAlignment w:val="auto"/>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项目资金充足性、资金稳定性进行评估分析；</w:t>
      </w:r>
    </w:p>
    <w:p w14:paraId="07CD632E">
      <w:pPr>
        <w:pStyle w:val="5"/>
        <w:keepNext w:val="0"/>
        <w:keepLines w:val="0"/>
        <w:pageBreakBefore w:val="0"/>
        <w:widowControl w:val="0"/>
        <w:numPr>
          <w:ilvl w:val="0"/>
          <w:numId w:val="2"/>
        </w:numPr>
        <w:kinsoku/>
        <w:wordWrap/>
        <w:overflowPunct/>
        <w:topLinePunct w:val="0"/>
        <w:autoSpaceDE/>
        <w:autoSpaceDN/>
        <w:bidi w:val="0"/>
        <w:adjustRightInd/>
        <w:snapToGrid/>
        <w:spacing w:line="240" w:lineRule="atLeast"/>
        <w:ind w:left="0" w:leftChars="0" w:firstLine="420" w:firstLineChars="200"/>
        <w:textAlignment w:val="auto"/>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合理规划债券资金需求、使用计划及分期发行方案。</w:t>
      </w:r>
    </w:p>
    <w:p w14:paraId="4DFE34D1">
      <w:pPr>
        <w:pStyle w:val="5"/>
        <w:keepNext w:val="0"/>
        <w:keepLines w:val="0"/>
        <w:pageBreakBefore w:val="0"/>
        <w:widowControl w:val="0"/>
        <w:numPr>
          <w:ilvl w:val="0"/>
          <w:numId w:val="2"/>
        </w:numPr>
        <w:kinsoku/>
        <w:wordWrap/>
        <w:overflowPunct/>
        <w:topLinePunct w:val="0"/>
        <w:autoSpaceDE/>
        <w:autoSpaceDN/>
        <w:bidi w:val="0"/>
        <w:adjustRightInd/>
        <w:snapToGrid/>
        <w:spacing w:line="240" w:lineRule="atLeast"/>
        <w:ind w:left="0" w:leftChars="0" w:firstLine="420" w:firstLineChars="200"/>
        <w:textAlignment w:val="auto"/>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对偿还本金情况进行风险预判分析、风险提示、对专项债券资金的分配提出合理建议；</w:t>
      </w:r>
    </w:p>
    <w:p w14:paraId="0F9AEB71">
      <w:pPr>
        <w:pStyle w:val="5"/>
        <w:keepNext w:val="0"/>
        <w:keepLines w:val="0"/>
        <w:pageBreakBefore w:val="0"/>
        <w:widowControl w:val="0"/>
        <w:numPr>
          <w:ilvl w:val="0"/>
          <w:numId w:val="2"/>
        </w:numPr>
        <w:kinsoku/>
        <w:wordWrap/>
        <w:overflowPunct/>
        <w:topLinePunct w:val="0"/>
        <w:autoSpaceDE/>
        <w:autoSpaceDN/>
        <w:bidi w:val="0"/>
        <w:adjustRightInd/>
        <w:snapToGrid/>
        <w:spacing w:line="240" w:lineRule="atLeast"/>
        <w:ind w:left="0" w:leftChars="0" w:firstLine="420" w:firstLineChars="200"/>
        <w:textAlignment w:val="auto"/>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提供项目数据底稿；</w:t>
      </w:r>
    </w:p>
    <w:p w14:paraId="3F370C31">
      <w:pPr>
        <w:pStyle w:val="5"/>
        <w:keepNext w:val="0"/>
        <w:keepLines w:val="0"/>
        <w:pageBreakBefore w:val="0"/>
        <w:widowControl w:val="0"/>
        <w:numPr>
          <w:ilvl w:val="0"/>
          <w:numId w:val="2"/>
        </w:numPr>
        <w:kinsoku/>
        <w:wordWrap/>
        <w:overflowPunct/>
        <w:topLinePunct w:val="0"/>
        <w:autoSpaceDE/>
        <w:autoSpaceDN/>
        <w:bidi w:val="0"/>
        <w:adjustRightInd/>
        <w:snapToGrid/>
        <w:spacing w:line="240" w:lineRule="atLeast"/>
        <w:ind w:left="0" w:leftChars="0" w:firstLine="420" w:firstLineChars="200"/>
        <w:textAlignment w:val="auto"/>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配合相关部门完成发债工作，协助填报相关报表及专债系统，协助我院与市发改委、市财政局、市教育局等主管部门进行专业沟通和解释工作；</w:t>
      </w:r>
    </w:p>
    <w:p w14:paraId="2B7D27ED">
      <w:pPr>
        <w:pStyle w:val="5"/>
        <w:keepNext w:val="0"/>
        <w:keepLines w:val="0"/>
        <w:pageBreakBefore w:val="0"/>
        <w:widowControl w:val="0"/>
        <w:numPr>
          <w:ilvl w:val="0"/>
          <w:numId w:val="2"/>
        </w:numPr>
        <w:kinsoku/>
        <w:wordWrap/>
        <w:overflowPunct/>
        <w:topLinePunct w:val="0"/>
        <w:autoSpaceDE/>
        <w:autoSpaceDN/>
        <w:bidi w:val="0"/>
        <w:adjustRightInd/>
        <w:snapToGrid/>
        <w:spacing w:line="240" w:lineRule="atLeast"/>
        <w:ind w:left="0" w:leftChars="0" w:firstLine="420" w:firstLineChars="200"/>
        <w:textAlignment w:val="auto"/>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包括涉及调整（整改）服务的，需完成资金平衡方案及实施方案调整任务和相关工作；</w:t>
      </w:r>
    </w:p>
    <w:p w14:paraId="4B4C085B">
      <w:pPr>
        <w:pStyle w:val="5"/>
        <w:keepNext w:val="0"/>
        <w:keepLines w:val="0"/>
        <w:pageBreakBefore w:val="0"/>
        <w:widowControl w:val="0"/>
        <w:numPr>
          <w:ilvl w:val="0"/>
          <w:numId w:val="2"/>
        </w:numPr>
        <w:kinsoku/>
        <w:wordWrap/>
        <w:overflowPunct/>
        <w:topLinePunct w:val="0"/>
        <w:autoSpaceDE/>
        <w:autoSpaceDN/>
        <w:bidi w:val="0"/>
        <w:adjustRightInd/>
        <w:snapToGrid/>
        <w:spacing w:line="240" w:lineRule="atLeast"/>
        <w:ind w:left="0" w:leftChars="0" w:firstLine="420" w:firstLineChars="200"/>
        <w:textAlignment w:val="auto"/>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指导并协助绩效评估相关工作；</w:t>
      </w:r>
    </w:p>
    <w:p w14:paraId="47E939CC">
      <w:pPr>
        <w:pStyle w:val="5"/>
        <w:keepNext w:val="0"/>
        <w:keepLines w:val="0"/>
        <w:pageBreakBefore w:val="0"/>
        <w:widowControl w:val="0"/>
        <w:numPr>
          <w:ilvl w:val="0"/>
          <w:numId w:val="2"/>
        </w:numPr>
        <w:kinsoku/>
        <w:wordWrap/>
        <w:overflowPunct/>
        <w:topLinePunct w:val="0"/>
        <w:autoSpaceDE/>
        <w:autoSpaceDN/>
        <w:bidi w:val="0"/>
        <w:adjustRightInd/>
        <w:snapToGrid/>
        <w:spacing w:line="240" w:lineRule="atLeast"/>
        <w:ind w:left="0" w:leftChars="0" w:firstLine="420" w:firstLineChars="200"/>
        <w:textAlignment w:val="auto"/>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全流程服务指导；</w:t>
      </w:r>
    </w:p>
    <w:p w14:paraId="30152BA0">
      <w:pPr>
        <w:pStyle w:val="5"/>
        <w:keepNext w:val="0"/>
        <w:keepLines w:val="0"/>
        <w:pageBreakBefore w:val="0"/>
        <w:widowControl w:val="0"/>
        <w:numPr>
          <w:ilvl w:val="0"/>
          <w:numId w:val="2"/>
        </w:numPr>
        <w:kinsoku/>
        <w:wordWrap/>
        <w:overflowPunct/>
        <w:topLinePunct w:val="0"/>
        <w:autoSpaceDE/>
        <w:autoSpaceDN/>
        <w:bidi w:val="0"/>
        <w:adjustRightInd/>
        <w:snapToGrid/>
        <w:spacing w:line="240" w:lineRule="atLeast"/>
        <w:ind w:left="0" w:leftChars="0" w:firstLine="420" w:firstLineChars="200"/>
        <w:textAlignment w:val="auto"/>
        <w:rPr>
          <w:rFonts w:hint="eastAsia" w:ascii="仿宋" w:hAnsi="仿宋" w:eastAsia="仿宋" w:cs="仿宋"/>
          <w:color w:val="000000"/>
          <w:sz w:val="22"/>
          <w:szCs w:val="22"/>
        </w:rPr>
      </w:pPr>
      <w:r>
        <w:rPr>
          <w:rFonts w:hint="eastAsia" w:ascii="宋体" w:hAnsi="宋体" w:eastAsia="宋体" w:cs="宋体"/>
          <w:b w:val="0"/>
          <w:bCs w:val="0"/>
          <w:sz w:val="21"/>
          <w:szCs w:val="21"/>
          <w:lang w:val="en-US" w:eastAsia="zh-CN" w:bidi="ar"/>
        </w:rPr>
        <w:t xml:space="preserve">其他专项债券相关服务。        </w:t>
      </w:r>
      <w:r>
        <w:rPr>
          <w:rFonts w:hint="eastAsia" w:ascii="仿宋" w:hAnsi="仿宋" w:eastAsia="仿宋" w:cs="仿宋"/>
          <w:color w:val="000000"/>
          <w:sz w:val="22"/>
          <w:szCs w:val="22"/>
        </w:rPr>
        <w:t xml:space="preserve">   </w:t>
      </w:r>
    </w:p>
    <w:p w14:paraId="609740E7">
      <w:pPr>
        <w:rPr>
          <w:rFonts w:hint="eastAsia" w:ascii="宋体" w:hAnsi="宋体" w:eastAsia="宋体" w:cs="宋体"/>
          <w:b/>
          <w:bCs/>
          <w:sz w:val="21"/>
          <w:szCs w:val="21"/>
          <w:lang w:val="en-US" w:eastAsia="zh-CN" w:bidi="ar"/>
        </w:rPr>
      </w:pPr>
      <w:r>
        <w:rPr>
          <w:rFonts w:hint="eastAsia" w:ascii="宋体" w:hAnsi="宋体" w:eastAsia="宋体" w:cs="宋体"/>
          <w:b/>
          <w:bCs/>
          <w:sz w:val="21"/>
          <w:szCs w:val="21"/>
          <w:lang w:val="en-US" w:eastAsia="zh-CN" w:bidi="ar"/>
        </w:rPr>
        <w:t>三、服务要求</w:t>
      </w:r>
    </w:p>
    <w:p w14:paraId="205A91D0">
      <w:pPr>
        <w:pStyle w:val="5"/>
        <w:keepNext w:val="0"/>
        <w:keepLines w:val="0"/>
        <w:pageBreakBefore w:val="0"/>
        <w:widowControl w:val="0"/>
        <w:numPr>
          <w:ilvl w:val="0"/>
          <w:numId w:val="3"/>
        </w:numPr>
        <w:kinsoku/>
        <w:wordWrap/>
        <w:overflowPunct/>
        <w:topLinePunct w:val="0"/>
        <w:autoSpaceDE/>
        <w:autoSpaceDN/>
        <w:bidi w:val="0"/>
        <w:adjustRightInd/>
        <w:snapToGrid/>
        <w:spacing w:line="240" w:lineRule="atLeast"/>
        <w:ind w:left="0" w:leftChars="0" w:firstLine="420" w:firstLineChars="200"/>
        <w:textAlignment w:val="auto"/>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中标人对文件编制深度和质量承担保证责任（文件编制深度须满足政府主管部门审批深度的要求）。中标人对文件的正确性、完备性、可靠性、可操作性、经济性负责，采购人或政府部门及委托的相关单位组织的审查并不减少中标人的以上所有责任。</w:t>
      </w:r>
    </w:p>
    <w:p w14:paraId="69005B42">
      <w:pPr>
        <w:pStyle w:val="5"/>
        <w:keepNext w:val="0"/>
        <w:keepLines w:val="0"/>
        <w:pageBreakBefore w:val="0"/>
        <w:widowControl w:val="0"/>
        <w:numPr>
          <w:ilvl w:val="0"/>
          <w:numId w:val="3"/>
        </w:numPr>
        <w:kinsoku/>
        <w:wordWrap/>
        <w:overflowPunct/>
        <w:topLinePunct w:val="0"/>
        <w:autoSpaceDE/>
        <w:autoSpaceDN/>
        <w:bidi w:val="0"/>
        <w:adjustRightInd/>
        <w:snapToGrid/>
        <w:spacing w:line="240" w:lineRule="atLeast"/>
        <w:ind w:left="0" w:leftChars="0" w:firstLine="420" w:firstLineChars="200"/>
        <w:textAlignment w:val="auto"/>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中标人应按时保质保量完成项目工作，成果若达不到采购人要求，采购人有权与其解除合同。</w:t>
      </w:r>
    </w:p>
    <w:p w14:paraId="2C8AC6BE">
      <w:pPr>
        <w:pStyle w:val="5"/>
        <w:keepNext w:val="0"/>
        <w:keepLines w:val="0"/>
        <w:pageBreakBefore w:val="0"/>
        <w:widowControl w:val="0"/>
        <w:numPr>
          <w:ilvl w:val="0"/>
          <w:numId w:val="3"/>
        </w:numPr>
        <w:kinsoku/>
        <w:wordWrap/>
        <w:overflowPunct/>
        <w:topLinePunct w:val="0"/>
        <w:autoSpaceDE/>
        <w:autoSpaceDN/>
        <w:bidi w:val="0"/>
        <w:adjustRightInd/>
        <w:snapToGrid/>
        <w:spacing w:line="240" w:lineRule="atLeast"/>
        <w:ind w:left="0" w:leftChars="0" w:firstLine="420" w:firstLineChars="200"/>
        <w:textAlignment w:val="auto"/>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对于采购人提供的信息和数据，非经采购人许可，中标人不得向第三方透露，但依有关法律、法规、法庭裁定或监管机构要求必须公开的除外。</w:t>
      </w:r>
    </w:p>
    <w:p w14:paraId="33AC63DD">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lang w:val="en-US" w:eastAsia="zh-CN" w:bidi="ar"/>
        </w:rPr>
      </w:pPr>
      <w:r>
        <w:rPr>
          <w:rFonts w:hint="eastAsia" w:ascii="宋体" w:hAnsi="宋体" w:cs="宋体"/>
          <w:b/>
          <w:bCs/>
          <w:sz w:val="21"/>
          <w:szCs w:val="21"/>
          <w:lang w:val="en-US" w:eastAsia="zh-CN" w:bidi="ar"/>
        </w:rPr>
        <w:t>四、人员</w:t>
      </w:r>
      <w:r>
        <w:rPr>
          <w:rFonts w:hint="eastAsia" w:ascii="宋体" w:hAnsi="宋体" w:eastAsia="宋体" w:cs="宋体"/>
          <w:b/>
          <w:bCs/>
          <w:sz w:val="21"/>
          <w:szCs w:val="21"/>
          <w:lang w:val="en-US" w:eastAsia="zh-CN" w:bidi="ar"/>
        </w:rPr>
        <w:t>要求</w:t>
      </w:r>
    </w:p>
    <w:p w14:paraId="0C0CAACA">
      <w:pPr>
        <w:pStyle w:val="5"/>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0" w:leftChars="0" w:firstLine="420" w:firstLineChars="200"/>
        <w:textAlignment w:val="auto"/>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为确保本项目管理规范、实施有力，项目团队成员均应具备开展专项债项目资金平衡测算工作所必需的专业技术能力，熟练掌握项目专项债券各项政策、各种专项债填报系统要求。</w:t>
      </w:r>
    </w:p>
    <w:p w14:paraId="3FF1F200">
      <w:pPr>
        <w:pStyle w:val="5"/>
        <w:keepNext w:val="0"/>
        <w:keepLines w:val="0"/>
        <w:pageBreakBefore w:val="0"/>
        <w:widowControl w:val="0"/>
        <w:numPr>
          <w:ilvl w:val="0"/>
          <w:numId w:val="4"/>
        </w:numPr>
        <w:kinsoku/>
        <w:wordWrap/>
        <w:overflowPunct/>
        <w:topLinePunct w:val="0"/>
        <w:autoSpaceDE/>
        <w:autoSpaceDN/>
        <w:bidi w:val="0"/>
        <w:adjustRightInd/>
        <w:snapToGrid/>
        <w:spacing w:line="240" w:lineRule="atLeast"/>
        <w:ind w:left="0" w:leftChars="0" w:firstLine="420" w:firstLineChars="200"/>
        <w:textAlignment w:val="auto"/>
        <w:rPr>
          <w:rFonts w:hint="eastAsia" w:ascii="宋体" w:hAnsi="宋体" w:eastAsia="宋体" w:cs="宋体"/>
          <w:b w:val="0"/>
          <w:bCs w:val="0"/>
          <w:sz w:val="21"/>
          <w:szCs w:val="21"/>
          <w:lang w:val="en-US" w:eastAsia="zh-CN" w:bidi="ar"/>
        </w:rPr>
      </w:pPr>
      <w:r>
        <w:rPr>
          <w:rFonts w:hint="eastAsia" w:ascii="宋体" w:hAnsi="宋体" w:eastAsia="宋体" w:cs="宋体"/>
          <w:b w:val="0"/>
          <w:bCs w:val="0"/>
          <w:sz w:val="21"/>
          <w:szCs w:val="21"/>
          <w:lang w:val="en-US" w:eastAsia="zh-CN" w:bidi="ar"/>
        </w:rPr>
        <w:t>在项目实施过程中，中标人不得随意更换项目负责人和项目组成员。如不经采购人同意擅自更换，则采购人有权解除合同，造成的损失由中标人自行承担。</w:t>
      </w:r>
    </w:p>
    <w:p w14:paraId="729B110A">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lang w:val="en-US" w:eastAsia="zh-CN" w:bidi="ar"/>
        </w:rPr>
      </w:pPr>
      <w:r>
        <w:rPr>
          <w:rFonts w:hint="eastAsia" w:ascii="宋体" w:hAnsi="宋体" w:eastAsia="宋体" w:cs="宋体"/>
          <w:b/>
          <w:bCs/>
          <w:sz w:val="21"/>
          <w:szCs w:val="21"/>
          <w:lang w:val="en-US" w:eastAsia="zh-CN" w:bidi="ar"/>
        </w:rPr>
        <w:t>五、服务成果要求</w:t>
      </w:r>
    </w:p>
    <w:p w14:paraId="709D5D9D">
      <w:pPr>
        <w:rPr>
          <w:rFonts w:hint="eastAsia" w:ascii="宋体" w:hAnsi="宋体" w:eastAsia="宋体" w:cs="宋体"/>
          <w:b/>
          <w:bCs/>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本项目为年度服务项目，服务期内撰写报告或专项债发行、调整（整改）所需材料的</w:t>
      </w:r>
      <w:r>
        <w:rPr>
          <w:rFonts w:hint="eastAsia" w:ascii="宋体" w:hAnsi="宋体" w:eastAsia="宋体" w:cs="宋体"/>
          <w:b/>
          <w:bCs/>
          <w:color w:val="auto"/>
          <w:kern w:val="2"/>
          <w:sz w:val="21"/>
          <w:szCs w:val="21"/>
          <w:lang w:val="en-US" w:eastAsia="zh-CN" w:bidi="ar-SA"/>
        </w:rPr>
        <w:t>次数不限</w:t>
      </w:r>
      <w:r>
        <w:rPr>
          <w:rFonts w:hint="eastAsia" w:ascii="宋体" w:hAnsi="宋体" w:eastAsia="宋体" w:cs="宋体"/>
          <w:color w:val="auto"/>
          <w:kern w:val="2"/>
          <w:sz w:val="21"/>
          <w:szCs w:val="21"/>
          <w:lang w:val="en-US" w:eastAsia="zh-CN" w:bidi="ar-SA"/>
        </w:rPr>
        <w:t>，直至专项债发行成功，发债成功提供深圳市财政局发布的相关公告或文件。</w:t>
      </w:r>
      <w:r>
        <w:rPr>
          <w:rFonts w:hint="eastAsia" w:ascii="宋体" w:hAnsi="宋体" w:eastAsia="宋体" w:cs="宋体"/>
          <w:b/>
          <w:bCs/>
          <w:color w:val="auto"/>
          <w:kern w:val="2"/>
          <w:sz w:val="21"/>
          <w:szCs w:val="21"/>
          <w:lang w:val="en-US" w:eastAsia="zh-CN" w:bidi="ar-SA"/>
        </w:rPr>
        <w:t>在发行成功后，如涉及调整（整改）服务的，需免费配合完成资金平衡方案及实施方案调整任务。</w:t>
      </w:r>
    </w:p>
    <w:p w14:paraId="59AD2760">
      <w:pPr>
        <w:rPr>
          <w:rFonts w:hint="eastAsia" w:ascii="宋体" w:hAnsi="宋体" w:eastAsia="宋体" w:cs="宋体"/>
          <w:b/>
          <w:bCs/>
          <w:color w:val="auto"/>
          <w:kern w:val="2"/>
          <w:sz w:val="21"/>
          <w:szCs w:val="21"/>
          <w:lang w:val="en-US" w:eastAsia="zh-CN" w:bidi="ar-SA"/>
        </w:rPr>
      </w:pPr>
    </w:p>
    <w:p w14:paraId="3770D98E">
      <w:pPr>
        <w:jc w:val="center"/>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商务需求</w:t>
      </w:r>
    </w:p>
    <w:p w14:paraId="17F78A3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lang w:val="en-US" w:eastAsia="zh-CN" w:bidi="ar"/>
        </w:rPr>
      </w:pPr>
      <w:r>
        <w:rPr>
          <w:rFonts w:hint="eastAsia" w:ascii="宋体" w:hAnsi="宋体" w:eastAsia="宋体" w:cs="宋体"/>
          <w:b/>
          <w:bCs/>
          <w:sz w:val="21"/>
          <w:szCs w:val="21"/>
          <w:lang w:val="en-US" w:eastAsia="zh-CN" w:bidi="ar"/>
        </w:rPr>
        <w:t>一、服务期限</w:t>
      </w:r>
    </w:p>
    <w:p w14:paraId="47750B04">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服务期限：合同签订之日起，为期一年。</w:t>
      </w:r>
    </w:p>
    <w:p w14:paraId="64BEFD8E">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本项目为长期服务类项目，自合同签订之日起第一年为本次招标的中标服务期限，采购人可根据项目需要和中标供应商的履约情况确定合同期限是否延长，一年一签，但最长不超过3年。</w:t>
      </w:r>
    </w:p>
    <w:p w14:paraId="66BA21B3">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lang w:val="en-US" w:eastAsia="zh-CN" w:bidi="ar"/>
        </w:rPr>
      </w:pPr>
      <w:r>
        <w:rPr>
          <w:rFonts w:hint="eastAsia" w:ascii="宋体" w:hAnsi="宋体" w:eastAsia="宋体" w:cs="宋体"/>
          <w:b/>
          <w:bCs/>
          <w:sz w:val="21"/>
          <w:szCs w:val="21"/>
          <w:lang w:val="en-US" w:eastAsia="zh-CN" w:bidi="ar"/>
        </w:rPr>
        <w:t>二、验收要求</w:t>
      </w:r>
    </w:p>
    <w:p w14:paraId="598CE4A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项目发债成功，按照采购人要求完成项目工作并提供项目实施方案和收到深圳市财政局发布的相关公告或文件。</w:t>
      </w:r>
    </w:p>
    <w:p w14:paraId="4471530A">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lang w:val="en-US" w:eastAsia="zh-CN" w:bidi="ar"/>
        </w:rPr>
      </w:pPr>
      <w:r>
        <w:rPr>
          <w:rFonts w:hint="eastAsia" w:ascii="宋体" w:hAnsi="宋体" w:eastAsia="宋体" w:cs="宋体"/>
          <w:b/>
          <w:bCs/>
          <w:sz w:val="21"/>
          <w:szCs w:val="21"/>
          <w:lang w:val="en-US" w:eastAsia="zh-CN" w:bidi="ar"/>
        </w:rPr>
        <w:t>三、付款方式</w:t>
      </w:r>
    </w:p>
    <w:p w14:paraId="72977CB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lang w:val="en-US" w:eastAsia="zh-CN" w:bidi="ar"/>
        </w:rPr>
      </w:pPr>
    </w:p>
    <w:tbl>
      <w:tblPr>
        <w:tblStyle w:val="3"/>
        <w:tblW w:w="0" w:type="auto"/>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4875"/>
      </w:tblGrid>
      <w:tr w14:paraId="03E6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14:paraId="31A7F434">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付款项目</w:t>
            </w:r>
          </w:p>
        </w:tc>
        <w:tc>
          <w:tcPr>
            <w:tcW w:w="4875" w:type="dxa"/>
          </w:tcPr>
          <w:p w14:paraId="5D6B65A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vertAlign w:val="baseline"/>
                <w:lang w:val="en-US" w:eastAsia="zh-CN" w:bidi="ar-SA"/>
              </w:rPr>
              <w:t>付款方式</w:t>
            </w:r>
          </w:p>
        </w:tc>
      </w:tr>
      <w:tr w14:paraId="3C00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14:paraId="030698A8">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b/>
                <w:bCs/>
                <w:color w:val="auto"/>
                <w:kern w:val="2"/>
                <w:sz w:val="21"/>
                <w:szCs w:val="21"/>
                <w:lang w:val="en-US" w:eastAsia="zh-CN" w:bidi="ar-SA"/>
              </w:rPr>
              <w:t>深圳大学总医院二期建设项目</w:t>
            </w:r>
          </w:p>
        </w:tc>
        <w:tc>
          <w:tcPr>
            <w:tcW w:w="4875" w:type="dxa"/>
          </w:tcPr>
          <w:p w14:paraId="196FDE23">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lang w:val="en-US" w:eastAsia="zh-CN" w:bidi="ar-SA"/>
              </w:rPr>
              <w:t>以项目成功发债为条件支付款项，发债成功，经采购人验收通过后，提供相关付款材料审批后，一次性支付100%合同款。</w:t>
            </w:r>
          </w:p>
        </w:tc>
      </w:tr>
      <w:tr w14:paraId="5603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14:paraId="4BFD6F7D">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b/>
                <w:bCs/>
                <w:color w:val="auto"/>
                <w:kern w:val="2"/>
                <w:sz w:val="21"/>
                <w:szCs w:val="21"/>
                <w:lang w:val="en-US" w:eastAsia="zh-CN" w:bidi="ar-SA"/>
              </w:rPr>
              <w:t>深圳大学总医院口腔中心建设项目</w:t>
            </w:r>
          </w:p>
        </w:tc>
        <w:tc>
          <w:tcPr>
            <w:tcW w:w="4875" w:type="dxa"/>
          </w:tcPr>
          <w:p w14:paraId="4445E0FC">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kern w:val="2"/>
                <w:sz w:val="21"/>
                <w:szCs w:val="21"/>
                <w:lang w:val="en-US" w:eastAsia="zh-CN" w:bidi="ar-SA"/>
              </w:rPr>
              <w:t>以项目成功发债为条件支付款项，发债成功，经采购人验收通过后，提供相关付款材料审批后，一次性支付100%合同款。</w:t>
            </w:r>
          </w:p>
        </w:tc>
      </w:tr>
    </w:tbl>
    <w:p w14:paraId="3D67957A">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20" w:firstLineChars="200"/>
        <w:jc w:val="left"/>
        <w:textAlignment w:val="auto"/>
        <w:rPr>
          <w:rFonts w:hint="eastAsia" w:ascii="宋体" w:hAnsi="宋体" w:eastAsia="宋体" w:cs="宋体"/>
          <w:color w:val="auto"/>
          <w:kern w:val="2"/>
          <w:sz w:val="21"/>
          <w:szCs w:val="21"/>
          <w:lang w:val="en-US" w:eastAsia="zh-CN" w:bidi="ar-SA"/>
        </w:rPr>
      </w:pPr>
    </w:p>
    <w:p w14:paraId="6F003254">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bCs/>
          <w:sz w:val="21"/>
          <w:szCs w:val="21"/>
          <w:lang w:val="en-US" w:eastAsia="zh-CN" w:bidi="ar"/>
        </w:rPr>
      </w:pPr>
      <w:r>
        <w:rPr>
          <w:rFonts w:hint="eastAsia" w:ascii="宋体" w:hAnsi="宋体" w:eastAsia="宋体" w:cs="宋体"/>
          <w:b/>
          <w:bCs/>
          <w:sz w:val="21"/>
          <w:szCs w:val="21"/>
          <w:lang w:val="en-US" w:eastAsia="zh-CN" w:bidi="ar"/>
        </w:rPr>
        <w:t>四、投标报价</w:t>
      </w:r>
    </w:p>
    <w:p w14:paraId="3C971E21">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20"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本项目服务费采用包干制，应包括服务成本、法定税费和企业的利润。由企业根据采购文件所提供的资料自行测算投标报价；一经中标，投标报价总价作为中标人与采购人签定的合同金额，合同期限内不做调整。</w:t>
      </w:r>
    </w:p>
    <w:p w14:paraId="75ED0712">
      <w:pPr>
        <w:ind w:firstLine="422" w:firstLineChars="200"/>
        <w:rPr>
          <w:rFonts w:hint="eastAsia" w:ascii="宋体" w:hAnsi="宋体" w:eastAsia="宋体" w:cs="宋体"/>
          <w:b/>
          <w:bCs/>
          <w:color w:val="auto"/>
          <w:kern w:val="2"/>
          <w:sz w:val="21"/>
          <w:szCs w:val="21"/>
          <w:rtl w:val="0"/>
          <w:lang w:val="en-US" w:eastAsia="zh-CN" w:bidi="ar-SA"/>
        </w:rPr>
      </w:pPr>
      <w:r>
        <w:rPr>
          <w:rFonts w:hint="eastAsia" w:ascii="宋体" w:hAnsi="宋体" w:eastAsia="宋体" w:cs="宋体"/>
          <w:b/>
          <w:bCs/>
          <w:color w:val="auto"/>
          <w:kern w:val="2"/>
          <w:sz w:val="21"/>
          <w:szCs w:val="21"/>
          <w:rtl w:val="0"/>
          <w:lang w:val="en-US" w:eastAsia="zh-CN" w:bidi="ar-SA"/>
        </w:rPr>
        <w:t>特别说明：需对</w:t>
      </w:r>
      <w:r>
        <w:rPr>
          <w:rFonts w:hint="eastAsia" w:ascii="宋体" w:hAnsi="宋体" w:eastAsia="宋体" w:cs="宋体"/>
          <w:b/>
          <w:bCs/>
          <w:color w:val="auto"/>
          <w:kern w:val="2"/>
          <w:sz w:val="21"/>
          <w:szCs w:val="21"/>
          <w:lang w:val="en-US" w:eastAsia="zh-CN" w:bidi="ar-SA"/>
        </w:rPr>
        <w:t>深圳大学总医院二期建设项目、深圳大学总医院口腔中心建设项目</w:t>
      </w:r>
      <w:r>
        <w:rPr>
          <w:rFonts w:hint="eastAsia" w:ascii="宋体" w:hAnsi="宋体" w:eastAsia="宋体" w:cs="宋体"/>
          <w:b/>
          <w:bCs/>
          <w:color w:val="auto"/>
          <w:kern w:val="2"/>
          <w:sz w:val="21"/>
          <w:szCs w:val="21"/>
          <w:rtl w:val="0"/>
          <w:lang w:val="en-US" w:eastAsia="zh-CN" w:bidi="ar-SA"/>
        </w:rPr>
        <w:t>进行分项报价。如项目有招标代理，则招标代理费相关费用说明：本项目招标代理服务费由中标单位在领取中标通知书之前一次性全额支付。该费用投标人在投标报价中综合考虑，招标人不再另行支付。</w:t>
      </w:r>
    </w:p>
    <w:p w14:paraId="64DB7324">
      <w:pPr>
        <w:ind w:firstLine="422" w:firstLineChars="200"/>
        <w:rPr>
          <w:rFonts w:hint="eastAsia" w:ascii="宋体" w:hAnsi="宋体" w:eastAsia="宋体" w:cs="宋体"/>
          <w:b/>
          <w:bCs/>
          <w:color w:val="auto"/>
          <w:kern w:val="2"/>
          <w:sz w:val="21"/>
          <w:szCs w:val="21"/>
          <w:rtl w:val="0"/>
          <w:lang w:val="en-US" w:eastAsia="zh-CN" w:bidi="ar-SA"/>
        </w:rPr>
      </w:pPr>
    </w:p>
    <w:p w14:paraId="76EA518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D9EF0"/>
    <w:multiLevelType w:val="singleLevel"/>
    <w:tmpl w:val="A6CD9EF0"/>
    <w:lvl w:ilvl="0" w:tentative="0">
      <w:start w:val="1"/>
      <w:numFmt w:val="decimal"/>
      <w:suff w:val="nothing"/>
      <w:lvlText w:val="%1．"/>
      <w:lvlJc w:val="left"/>
      <w:pPr>
        <w:ind w:left="0" w:firstLine="400"/>
      </w:pPr>
      <w:rPr>
        <w:rFonts w:hint="default"/>
      </w:rPr>
    </w:lvl>
  </w:abstractNum>
  <w:abstractNum w:abstractNumId="1">
    <w:nsid w:val="B1C88714"/>
    <w:multiLevelType w:val="singleLevel"/>
    <w:tmpl w:val="B1C88714"/>
    <w:lvl w:ilvl="0" w:tentative="0">
      <w:start w:val="1"/>
      <w:numFmt w:val="decimal"/>
      <w:suff w:val="nothing"/>
      <w:lvlText w:val="%1．"/>
      <w:lvlJc w:val="left"/>
      <w:pPr>
        <w:ind w:left="0" w:firstLine="400"/>
      </w:pPr>
      <w:rPr>
        <w:rFonts w:hint="default"/>
      </w:rPr>
    </w:lvl>
  </w:abstractNum>
  <w:abstractNum w:abstractNumId="2">
    <w:nsid w:val="B869AFBC"/>
    <w:multiLevelType w:val="singleLevel"/>
    <w:tmpl w:val="B869AFBC"/>
    <w:lvl w:ilvl="0" w:tentative="0">
      <w:start w:val="1"/>
      <w:numFmt w:val="decimal"/>
      <w:suff w:val="nothing"/>
      <w:lvlText w:val="%1．"/>
      <w:lvlJc w:val="left"/>
      <w:pPr>
        <w:ind w:left="0" w:firstLine="400"/>
      </w:pPr>
      <w:rPr>
        <w:rFonts w:hint="default"/>
      </w:rPr>
    </w:lvl>
  </w:abstractNum>
  <w:abstractNum w:abstractNumId="3">
    <w:nsid w:val="05812AE1"/>
    <w:multiLevelType w:val="singleLevel"/>
    <w:tmpl w:val="05812AE1"/>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A3E08"/>
    <w:rsid w:val="07DA3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2025-11-10T09:47:00Z</dcterms:created>
  <dc:creator>深大总医院基建科</dc:creator>
  <cp:lastModifiedBy>深大总医院基建科</cp:lastModifiedBy>
  <dcterms:modified xsi:type="dcterms:W3CDTF">2025-11-10T09:48:13Z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6E5BA604BD0345AAACD71D69E3679CE6_11</vt:lpwstr>
  </property>
  <property fmtid="{D5CDD505-2E9C-101B-9397-08002B2CF9AE}" pid="4" name="KSOTemplateDocerSaveRecord">
    <vt:lpwstr>eyJoZGlkIjoiYjMxMDkxZTVhMmFkYmMxZTcwZDViNmRhZTk1OTZiOWEiLCJ1c2VySWQiOiIxMTQyOTUwMjY0In0=</vt:lpwstr>
  </property>
</Properties>
</file>