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4A2A5">
      <w:pPr>
        <w:pStyle w:val="2"/>
        <w:rPr>
          <w:sz w:val="28"/>
          <w:szCs w:val="28"/>
        </w:rPr>
      </w:pPr>
      <w:bookmarkStart w:id="0" w:name="_Toc128884461"/>
      <w:r>
        <w:rPr>
          <w:rFonts w:hint="eastAsia"/>
          <w:sz w:val="28"/>
          <w:szCs w:val="28"/>
        </w:rPr>
        <w:t>用户需求书</w:t>
      </w:r>
    </w:p>
    <w:p w14:paraId="65E82040">
      <w:pPr>
        <w:pStyle w:val="2"/>
        <w:spacing w:before="120" w:beforeLines="50" w:after="120" w:afterLines="50"/>
        <w:rPr>
          <w:szCs w:val="24"/>
        </w:rPr>
      </w:pPr>
      <w:r>
        <w:rPr>
          <w:rFonts w:hint="eastAsia"/>
          <w:szCs w:val="24"/>
        </w:rPr>
        <w:t>一、项目基本信息</w:t>
      </w:r>
    </w:p>
    <w:tbl>
      <w:tblPr>
        <w:tblStyle w:val="9"/>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007"/>
        <w:gridCol w:w="2446"/>
        <w:gridCol w:w="1819"/>
        <w:gridCol w:w="1821"/>
      </w:tblGrid>
      <w:tr w14:paraId="04BC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49" w:type="pct"/>
            <w:vAlign w:val="center"/>
          </w:tcPr>
          <w:p w14:paraId="77458914">
            <w:pPr>
              <w:jc w:val="center"/>
              <w:rPr>
                <w:rFonts w:ascii="Times New Roman" w:hAnsi="Times New Roman" w:eastAsia="宋体" w:cs="Times New Roman"/>
                <w:bCs/>
                <w:szCs w:val="21"/>
              </w:rPr>
            </w:pPr>
            <w:r>
              <w:rPr>
                <w:rFonts w:hint="eastAsia" w:ascii="Times New Roman" w:hAnsi="Times New Roman" w:eastAsia="宋体" w:cs="Times New Roman"/>
                <w:bCs/>
                <w:szCs w:val="21"/>
              </w:rPr>
              <w:t>序号</w:t>
            </w:r>
          </w:p>
        </w:tc>
        <w:tc>
          <w:tcPr>
            <w:tcW w:w="1178" w:type="pct"/>
            <w:vAlign w:val="center"/>
          </w:tcPr>
          <w:p w14:paraId="3E9119DB">
            <w:pPr>
              <w:jc w:val="center"/>
              <w:rPr>
                <w:rFonts w:ascii="Times New Roman" w:hAnsi="Times New Roman" w:eastAsia="宋体" w:cs="Times New Roman"/>
                <w:bCs/>
                <w:szCs w:val="21"/>
              </w:rPr>
            </w:pPr>
            <w:r>
              <w:rPr>
                <w:rFonts w:hint="eastAsia" w:ascii="Times New Roman" w:hAnsi="Times New Roman" w:eastAsia="宋体" w:cs="Times New Roman"/>
                <w:szCs w:val="21"/>
              </w:rPr>
              <w:t>采购计划编号</w:t>
            </w:r>
          </w:p>
        </w:tc>
        <w:tc>
          <w:tcPr>
            <w:tcW w:w="1435" w:type="pct"/>
            <w:vAlign w:val="center"/>
          </w:tcPr>
          <w:p w14:paraId="5618B7C2">
            <w:pPr>
              <w:jc w:val="center"/>
              <w:rPr>
                <w:rFonts w:ascii="Times New Roman" w:hAnsi="Times New Roman" w:eastAsia="宋体" w:cs="Times New Roman"/>
                <w:bCs/>
                <w:szCs w:val="21"/>
              </w:rPr>
            </w:pPr>
            <w:r>
              <w:rPr>
                <w:rFonts w:hint="eastAsia" w:ascii="Times New Roman" w:hAnsi="Times New Roman" w:eastAsia="宋体" w:cs="Times New Roman"/>
                <w:bCs/>
                <w:szCs w:val="21"/>
              </w:rPr>
              <w:t>采购项目名称</w:t>
            </w:r>
          </w:p>
        </w:tc>
        <w:tc>
          <w:tcPr>
            <w:tcW w:w="1067" w:type="pct"/>
            <w:vAlign w:val="center"/>
          </w:tcPr>
          <w:p w14:paraId="5E5D5451">
            <w:pPr>
              <w:jc w:val="center"/>
              <w:rPr>
                <w:rFonts w:ascii="Times New Roman" w:hAnsi="Times New Roman" w:eastAsia="宋体" w:cs="Times New Roman"/>
                <w:b/>
                <w:bCs/>
                <w:color w:val="FF0000"/>
                <w:szCs w:val="21"/>
              </w:rPr>
            </w:pPr>
            <w:r>
              <w:rPr>
                <w:rFonts w:hint="eastAsia" w:ascii="Times New Roman" w:hAnsi="Times New Roman" w:eastAsia="宋体" w:cs="Times New Roman"/>
                <w:b/>
                <w:bCs/>
                <w:color w:val="FF0000"/>
                <w:szCs w:val="21"/>
                <w:lang w:eastAsia="zh-CN"/>
              </w:rPr>
              <w:t>预算金额</w:t>
            </w:r>
            <w:r>
              <w:rPr>
                <w:rFonts w:hint="eastAsia" w:ascii="Times New Roman" w:hAnsi="Times New Roman" w:eastAsia="宋体" w:cs="Times New Roman"/>
                <w:b/>
                <w:bCs/>
                <w:color w:val="FF0000"/>
                <w:szCs w:val="21"/>
              </w:rPr>
              <w:t>（元）</w:t>
            </w:r>
          </w:p>
        </w:tc>
        <w:tc>
          <w:tcPr>
            <w:tcW w:w="1068" w:type="pct"/>
            <w:vAlign w:val="center"/>
          </w:tcPr>
          <w:p w14:paraId="18E3297C">
            <w:pPr>
              <w:jc w:val="center"/>
              <w:rPr>
                <w:rFonts w:hint="eastAsia" w:ascii="Times New Roman" w:hAnsi="Times New Roman" w:eastAsia="宋体" w:cs="Times New Roman"/>
                <w:b/>
                <w:bCs/>
                <w:color w:val="FF0000"/>
                <w:szCs w:val="21"/>
              </w:rPr>
            </w:pPr>
            <w:r>
              <w:rPr>
                <w:rFonts w:hint="eastAsia" w:cs="Times New Roman"/>
                <w:b/>
                <w:bCs/>
                <w:color w:val="FF0000"/>
                <w:szCs w:val="21"/>
                <w:lang w:val="en-US" w:eastAsia="zh-CN"/>
              </w:rPr>
              <w:t>年支付上限</w:t>
            </w:r>
            <w:r>
              <w:rPr>
                <w:rFonts w:hint="eastAsia" w:ascii="Times New Roman" w:hAnsi="Times New Roman" w:eastAsia="宋体" w:cs="Times New Roman"/>
                <w:b/>
                <w:bCs/>
                <w:color w:val="FF0000"/>
                <w:szCs w:val="21"/>
              </w:rPr>
              <w:t>（元）</w:t>
            </w:r>
          </w:p>
        </w:tc>
      </w:tr>
      <w:tr w14:paraId="2D91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49" w:type="pct"/>
            <w:vAlign w:val="center"/>
          </w:tcPr>
          <w:p w14:paraId="0B0E784D">
            <w:pPr>
              <w:jc w:val="center"/>
              <w:rPr>
                <w:rFonts w:ascii="Times New Roman" w:hAnsi="Times New Roman" w:eastAsia="宋体" w:cs="Times New Roman"/>
                <w:bCs/>
                <w:color w:val="FF0000"/>
                <w:szCs w:val="21"/>
              </w:rPr>
            </w:pPr>
            <w:r>
              <w:rPr>
                <w:rFonts w:hint="eastAsia" w:ascii="Times New Roman" w:hAnsi="Times New Roman" w:eastAsia="宋体" w:cs="Times New Roman"/>
                <w:bCs/>
                <w:color w:val="FF0000"/>
                <w:szCs w:val="21"/>
              </w:rPr>
              <w:t>1</w:t>
            </w:r>
          </w:p>
        </w:tc>
        <w:tc>
          <w:tcPr>
            <w:tcW w:w="1178" w:type="pct"/>
            <w:vAlign w:val="center"/>
          </w:tcPr>
          <w:p w14:paraId="0C0FA201">
            <w:pPr>
              <w:jc w:val="center"/>
              <w:rPr>
                <w:rFonts w:ascii="Times New Roman" w:hAnsi="Times New Roman" w:eastAsia="宋体" w:cs="Times New Roman"/>
                <w:bCs/>
                <w:color w:val="FF0000"/>
                <w:szCs w:val="21"/>
              </w:rPr>
            </w:pPr>
            <w:r>
              <w:rPr>
                <w:rFonts w:hint="eastAsia" w:ascii="Times New Roman" w:hAnsi="Times New Roman" w:eastAsia="宋体" w:cs="Times New Roman"/>
                <w:bCs/>
                <w:color w:val="FF0000"/>
                <w:szCs w:val="21"/>
              </w:rPr>
              <w:t>PLAN-</w:t>
            </w:r>
            <w:r>
              <w:rPr>
                <w:rFonts w:ascii="Times New Roman" w:hAnsi="Times New Roman" w:eastAsia="宋体" w:cs="Times New Roman"/>
                <w:bCs/>
                <w:color w:val="FF0000"/>
                <w:szCs w:val="21"/>
              </w:rPr>
              <w:t>******</w:t>
            </w:r>
          </w:p>
        </w:tc>
        <w:tc>
          <w:tcPr>
            <w:tcW w:w="1435" w:type="pct"/>
            <w:vAlign w:val="center"/>
          </w:tcPr>
          <w:p w14:paraId="06F1A39A">
            <w:pPr>
              <w:jc w:val="center"/>
              <w:rPr>
                <w:rFonts w:ascii="Times New Roman" w:hAnsi="Times New Roman" w:eastAsia="宋体" w:cs="Times New Roman"/>
                <w:b/>
                <w:bCs/>
                <w:color w:val="FF0000"/>
                <w:szCs w:val="21"/>
              </w:rPr>
            </w:pPr>
            <w:r>
              <w:rPr>
                <w:rFonts w:hint="eastAsia" w:ascii="Times New Roman" w:hAnsi="Times New Roman" w:eastAsia="宋体" w:cs="Times New Roman"/>
                <w:b/>
                <w:bCs/>
                <w:color w:val="FF0000"/>
                <w:szCs w:val="21"/>
              </w:rPr>
              <w:t>深圳大学总医院零星修缮工程施工年度服务</w:t>
            </w:r>
          </w:p>
        </w:tc>
        <w:tc>
          <w:tcPr>
            <w:tcW w:w="1067" w:type="pct"/>
            <w:vAlign w:val="center"/>
          </w:tcPr>
          <w:p w14:paraId="7802887C">
            <w:pPr>
              <w:jc w:val="center"/>
              <w:rPr>
                <w:rFonts w:hint="default" w:ascii="Times New Roman" w:hAnsi="Times New Roman" w:eastAsia="宋体" w:cs="Times New Roman"/>
                <w:bCs/>
                <w:color w:val="FF0000"/>
                <w:szCs w:val="21"/>
                <w:lang w:val="en-US" w:eastAsia="zh-CN"/>
              </w:rPr>
            </w:pPr>
            <w:r>
              <w:rPr>
                <w:rFonts w:hint="eastAsia" w:cs="Times New Roman"/>
                <w:bCs/>
                <w:color w:val="FF0000"/>
                <w:szCs w:val="21"/>
                <w:lang w:val="en-US" w:eastAsia="zh-CN"/>
              </w:rPr>
              <w:t>1,700,000.00</w:t>
            </w:r>
          </w:p>
        </w:tc>
        <w:tc>
          <w:tcPr>
            <w:tcW w:w="1068" w:type="pct"/>
            <w:vAlign w:val="center"/>
          </w:tcPr>
          <w:p w14:paraId="0FBDAD5A">
            <w:pPr>
              <w:jc w:val="center"/>
              <w:rPr>
                <w:rFonts w:ascii="Times New Roman" w:hAnsi="Times New Roman" w:eastAsia="宋体" w:cs="Times New Roman"/>
                <w:bCs/>
                <w:color w:val="FF0000"/>
                <w:szCs w:val="21"/>
              </w:rPr>
            </w:pPr>
            <w:r>
              <w:rPr>
                <w:rFonts w:hint="eastAsia" w:cs="Times New Roman"/>
                <w:bCs/>
                <w:color w:val="FF0000"/>
                <w:szCs w:val="21"/>
                <w:lang w:val="en-US" w:eastAsia="zh-CN"/>
              </w:rPr>
              <w:t>1,700,000.00</w:t>
            </w:r>
          </w:p>
        </w:tc>
      </w:tr>
    </w:tbl>
    <w:p w14:paraId="2195F592">
      <w:pPr>
        <w:rPr>
          <w:rFonts w:ascii="宋体" w:hAnsi="宋体"/>
          <w:b/>
          <w:color w:val="FF0000"/>
          <w:szCs w:val="21"/>
        </w:rPr>
      </w:pPr>
    </w:p>
    <w:p w14:paraId="5A43B220">
      <w:pPr>
        <w:pStyle w:val="2"/>
        <w:spacing w:before="120" w:beforeLines="50" w:after="120" w:afterLines="50"/>
        <w:rPr>
          <w:szCs w:val="24"/>
        </w:rPr>
      </w:pPr>
      <w:r>
        <w:rPr>
          <w:rFonts w:hint="eastAsia"/>
          <w:szCs w:val="24"/>
        </w:rPr>
        <w:t>二、项目概况</w:t>
      </w:r>
    </w:p>
    <w:p w14:paraId="0F125A2D">
      <w:pPr>
        <w:spacing w:line="240" w:lineRule="auto"/>
        <w:ind w:firstLine="440" w:firstLineChars="200"/>
        <w:rPr>
          <w:rFonts w:hint="eastAsia" w:ascii="宋体" w:hAnsi="宋体" w:cs="宋体"/>
          <w:sz w:val="22"/>
          <w:szCs w:val="22"/>
        </w:rPr>
      </w:pPr>
      <w:r>
        <w:rPr>
          <w:rFonts w:hint="eastAsia" w:ascii="宋体" w:hAnsi="宋体" w:cs="宋体"/>
          <w:sz w:val="22"/>
          <w:szCs w:val="22"/>
        </w:rPr>
        <w:t>本项目位于深圳市南山区深圳大学总医院，深圳大学总医院现有门诊楼、住院楼、行政楼、后勤楼、感控楼、高压氧楼、污水处理站等，建筑面积约13.8万平方米。本次招标内容为年度施工单位，年度施工单位的施工内容为深圳大学总医院的零星维修工程，具体要求详见本章四、技术要求。</w:t>
      </w:r>
    </w:p>
    <w:p w14:paraId="7A4D7534">
      <w:pPr>
        <w:spacing w:line="240" w:lineRule="auto"/>
        <w:ind w:firstLine="440" w:firstLineChars="200"/>
        <w:rPr>
          <w:rFonts w:ascii="宋体" w:hAnsi="宋体" w:cs="宋体"/>
          <w:sz w:val="22"/>
          <w:szCs w:val="22"/>
        </w:rPr>
      </w:pPr>
      <w:r>
        <w:rPr>
          <w:rFonts w:hint="eastAsia" w:ascii="宋体" w:hAnsi="宋体" w:cs="宋体"/>
          <w:sz w:val="22"/>
          <w:szCs w:val="22"/>
        </w:rPr>
        <w:t>年度施工单位</w:t>
      </w:r>
      <w:r>
        <w:rPr>
          <w:rFonts w:hint="eastAsia" w:ascii="宋体" w:hAnsi="宋体" w:cs="宋体"/>
          <w:sz w:val="22"/>
          <w:szCs w:val="22"/>
          <w:lang w:val="en-US" w:eastAsia="zh-CN"/>
        </w:rPr>
        <w:t>主要承接</w:t>
      </w:r>
      <w:r>
        <w:rPr>
          <w:rFonts w:hint="eastAsia" w:ascii="宋体" w:hAnsi="宋体" w:cs="宋体"/>
          <w:sz w:val="22"/>
          <w:szCs w:val="22"/>
        </w:rPr>
        <w:t>圳大学总医院单项金额</w:t>
      </w:r>
      <w:r>
        <w:rPr>
          <w:rFonts w:hint="eastAsia" w:ascii="宋体" w:hAnsi="宋体" w:cs="宋体"/>
          <w:sz w:val="22"/>
          <w:szCs w:val="22"/>
          <w:lang w:val="en-US" w:eastAsia="zh-CN"/>
        </w:rPr>
        <w:t>2</w:t>
      </w:r>
      <w:r>
        <w:rPr>
          <w:rFonts w:hint="eastAsia" w:ascii="宋体" w:hAnsi="宋体" w:cs="宋体"/>
          <w:sz w:val="22"/>
          <w:szCs w:val="22"/>
        </w:rPr>
        <w:t>0万元（不含）以下的土建、装修、维修及拆除、防水、卫浴、给排水、地下管道、电气安装等零星修缮工程施工，包含行政楼、住院楼、门诊楼、感控楼、高压氧楼、后勤楼、污水处理站、一、二期临时建筑等院内所有建筑及室外工程</w:t>
      </w:r>
      <w:r>
        <w:rPr>
          <w:rFonts w:ascii="宋体" w:hAnsi="宋体" w:cs="宋体"/>
          <w:sz w:val="22"/>
          <w:szCs w:val="22"/>
        </w:rPr>
        <w:t>。</w:t>
      </w:r>
    </w:p>
    <w:p w14:paraId="7C9C7C89">
      <w:pPr>
        <w:ind w:firstLine="480" w:firstLineChars="200"/>
        <w:rPr>
          <w:sz w:val="24"/>
        </w:rPr>
      </w:pPr>
    </w:p>
    <w:p w14:paraId="5D6F8EE4">
      <w:pPr>
        <w:rPr>
          <w:rFonts w:ascii="宋体" w:hAnsi="宋体"/>
          <w:b/>
          <w:color w:val="FF0000"/>
          <w:szCs w:val="21"/>
        </w:rPr>
      </w:pPr>
    </w:p>
    <w:p w14:paraId="3FF5E809">
      <w:pPr>
        <w:pStyle w:val="2"/>
        <w:spacing w:before="120" w:beforeLines="50" w:after="120" w:afterLines="50"/>
        <w:rPr>
          <w:szCs w:val="24"/>
        </w:rPr>
      </w:pPr>
      <w:r>
        <w:rPr>
          <w:rFonts w:hint="eastAsia"/>
          <w:szCs w:val="24"/>
        </w:rPr>
        <w:t>三、</w:t>
      </w:r>
      <w:bookmarkStart w:id="1" w:name="_Hlk72073432"/>
      <w:r>
        <w:rPr>
          <w:rFonts w:hint="eastAsia"/>
          <w:szCs w:val="24"/>
        </w:rPr>
        <w:t>服务需求明细</w:t>
      </w:r>
      <w:bookmarkEnd w:id="1"/>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1150"/>
        <w:gridCol w:w="2577"/>
        <w:gridCol w:w="898"/>
        <w:gridCol w:w="820"/>
        <w:gridCol w:w="1400"/>
        <w:gridCol w:w="1243"/>
      </w:tblGrid>
      <w:tr w14:paraId="5E20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2" w:type="pct"/>
            <w:vAlign w:val="center"/>
          </w:tcPr>
          <w:p w14:paraId="6097CB22">
            <w:pPr>
              <w:jc w:val="center"/>
              <w:rPr>
                <w:bCs/>
                <w:szCs w:val="21"/>
              </w:rPr>
            </w:pPr>
            <w:r>
              <w:rPr>
                <w:rFonts w:hint="eastAsia"/>
                <w:bCs/>
                <w:szCs w:val="21"/>
              </w:rPr>
              <w:t>序号</w:t>
            </w:r>
          </w:p>
        </w:tc>
        <w:tc>
          <w:tcPr>
            <w:tcW w:w="674" w:type="pct"/>
            <w:vAlign w:val="center"/>
          </w:tcPr>
          <w:p w14:paraId="56B35D38">
            <w:pPr>
              <w:jc w:val="center"/>
              <w:rPr>
                <w:bCs/>
                <w:szCs w:val="21"/>
              </w:rPr>
            </w:pPr>
            <w:r>
              <w:rPr>
                <w:rFonts w:hint="eastAsia"/>
                <w:szCs w:val="21"/>
              </w:rPr>
              <w:t>采购计划编号</w:t>
            </w:r>
          </w:p>
        </w:tc>
        <w:tc>
          <w:tcPr>
            <w:tcW w:w="1512" w:type="pct"/>
            <w:vAlign w:val="center"/>
          </w:tcPr>
          <w:p w14:paraId="538EF0DE">
            <w:pPr>
              <w:jc w:val="center"/>
              <w:rPr>
                <w:bCs/>
                <w:szCs w:val="21"/>
              </w:rPr>
            </w:pPr>
            <w:r>
              <w:rPr>
                <w:rFonts w:hint="eastAsia"/>
                <w:bCs/>
                <w:szCs w:val="21"/>
              </w:rPr>
              <w:t>服务需求名称（标的名称）</w:t>
            </w:r>
          </w:p>
        </w:tc>
        <w:tc>
          <w:tcPr>
            <w:tcW w:w="527" w:type="pct"/>
            <w:vAlign w:val="center"/>
          </w:tcPr>
          <w:p w14:paraId="5E39F658">
            <w:pPr>
              <w:jc w:val="center"/>
              <w:rPr>
                <w:bCs/>
                <w:szCs w:val="21"/>
              </w:rPr>
            </w:pPr>
            <w:r>
              <w:rPr>
                <w:rFonts w:hint="eastAsia"/>
                <w:bCs/>
                <w:szCs w:val="21"/>
              </w:rPr>
              <w:t>数量</w:t>
            </w:r>
          </w:p>
        </w:tc>
        <w:tc>
          <w:tcPr>
            <w:tcW w:w="481" w:type="pct"/>
            <w:vAlign w:val="center"/>
          </w:tcPr>
          <w:p w14:paraId="6272F49A">
            <w:pPr>
              <w:jc w:val="center"/>
              <w:rPr>
                <w:bCs/>
                <w:szCs w:val="21"/>
              </w:rPr>
            </w:pPr>
            <w:r>
              <w:rPr>
                <w:rFonts w:hint="eastAsia"/>
                <w:bCs/>
                <w:szCs w:val="21"/>
              </w:rPr>
              <w:t>单位</w:t>
            </w:r>
          </w:p>
        </w:tc>
        <w:tc>
          <w:tcPr>
            <w:tcW w:w="821" w:type="pct"/>
            <w:vAlign w:val="center"/>
          </w:tcPr>
          <w:p w14:paraId="1516A786">
            <w:pPr>
              <w:jc w:val="center"/>
              <w:rPr>
                <w:rFonts w:hint="eastAsia"/>
                <w:bCs/>
                <w:szCs w:val="21"/>
              </w:rPr>
            </w:pPr>
            <w:r>
              <w:rPr>
                <w:rFonts w:hint="eastAsia" w:ascii="Times New Roman" w:eastAsia="宋体"/>
                <w:b/>
                <w:bCs/>
                <w:color w:val="FF0000"/>
                <w:szCs w:val="21"/>
                <w:lang w:val="en-US" w:eastAsia="zh-CN"/>
              </w:rPr>
              <w:t>是否专门面向中小企业</w:t>
            </w:r>
          </w:p>
        </w:tc>
        <w:tc>
          <w:tcPr>
            <w:tcW w:w="729" w:type="pct"/>
            <w:vAlign w:val="center"/>
          </w:tcPr>
          <w:p w14:paraId="448261FD">
            <w:pPr>
              <w:jc w:val="center"/>
              <w:rPr>
                <w:rFonts w:hint="eastAsia" w:ascii="Times New Roman" w:eastAsia="宋体"/>
                <w:b/>
                <w:bCs/>
                <w:color w:val="FF0000"/>
                <w:szCs w:val="21"/>
                <w:lang w:val="en-US" w:eastAsia="zh-CN"/>
              </w:rPr>
            </w:pPr>
            <w:r>
              <w:rPr>
                <w:rFonts w:hint="eastAsia" w:ascii="Times New Roman" w:eastAsia="宋体"/>
                <w:b/>
                <w:bCs/>
                <w:color w:val="FF0000"/>
                <w:szCs w:val="21"/>
                <w:lang w:val="en-US" w:eastAsia="zh-CN"/>
              </w:rPr>
              <w:t>标的所属行业</w:t>
            </w:r>
          </w:p>
        </w:tc>
      </w:tr>
      <w:tr w14:paraId="182C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2" w:type="pct"/>
            <w:vAlign w:val="center"/>
          </w:tcPr>
          <w:p w14:paraId="7891517D">
            <w:pPr>
              <w:jc w:val="center"/>
              <w:rPr>
                <w:bCs/>
                <w:szCs w:val="21"/>
              </w:rPr>
            </w:pPr>
            <w:r>
              <w:rPr>
                <w:rFonts w:hint="eastAsia"/>
                <w:bCs/>
                <w:szCs w:val="21"/>
              </w:rPr>
              <w:t>1</w:t>
            </w:r>
          </w:p>
        </w:tc>
        <w:tc>
          <w:tcPr>
            <w:tcW w:w="674" w:type="pct"/>
            <w:vAlign w:val="center"/>
          </w:tcPr>
          <w:p w14:paraId="0E6B9531">
            <w:pPr>
              <w:jc w:val="center"/>
              <w:rPr>
                <w:bCs/>
                <w:szCs w:val="21"/>
              </w:rPr>
            </w:pPr>
            <w:r>
              <w:rPr>
                <w:rFonts w:hint="eastAsia"/>
                <w:bCs/>
                <w:szCs w:val="21"/>
              </w:rPr>
              <w:t>PLAN-</w:t>
            </w:r>
            <w:r>
              <w:rPr>
                <w:bCs/>
                <w:szCs w:val="21"/>
              </w:rPr>
              <w:t>***</w:t>
            </w:r>
          </w:p>
        </w:tc>
        <w:tc>
          <w:tcPr>
            <w:tcW w:w="1512" w:type="pct"/>
            <w:vAlign w:val="center"/>
          </w:tcPr>
          <w:p w14:paraId="4F82981C">
            <w:pPr>
              <w:jc w:val="center"/>
              <w:rPr>
                <w:bCs/>
                <w:szCs w:val="21"/>
              </w:rPr>
            </w:pPr>
            <w:r>
              <w:rPr>
                <w:rFonts w:hint="eastAsia" w:ascii="Times New Roman" w:hAnsi="Times New Roman" w:eastAsia="宋体" w:cs="Times New Roman"/>
                <w:b/>
                <w:bCs/>
                <w:color w:val="FF0000"/>
                <w:szCs w:val="21"/>
              </w:rPr>
              <w:t>深圳大学总医院零星修缮工程施工年度服务</w:t>
            </w:r>
          </w:p>
        </w:tc>
        <w:tc>
          <w:tcPr>
            <w:tcW w:w="527" w:type="pct"/>
            <w:vAlign w:val="center"/>
          </w:tcPr>
          <w:p w14:paraId="3680811B">
            <w:pPr>
              <w:jc w:val="center"/>
              <w:rPr>
                <w:rFonts w:hint="eastAsia" w:eastAsia="宋体"/>
                <w:bCs/>
                <w:szCs w:val="21"/>
                <w:lang w:eastAsia="zh-CN"/>
              </w:rPr>
            </w:pPr>
            <w:r>
              <w:rPr>
                <w:rFonts w:hint="eastAsia"/>
                <w:lang w:val="en-US" w:eastAsia="zh-CN"/>
              </w:rPr>
              <w:t>1</w:t>
            </w:r>
          </w:p>
        </w:tc>
        <w:tc>
          <w:tcPr>
            <w:tcW w:w="481" w:type="pct"/>
            <w:vAlign w:val="center"/>
          </w:tcPr>
          <w:p w14:paraId="581219DA">
            <w:pPr>
              <w:jc w:val="center"/>
              <w:rPr>
                <w:rFonts w:hint="eastAsia" w:eastAsia="宋体"/>
                <w:bCs/>
                <w:szCs w:val="21"/>
                <w:lang w:val="en-US" w:eastAsia="zh-CN"/>
              </w:rPr>
            </w:pPr>
            <w:r>
              <w:rPr>
                <w:rFonts w:hint="eastAsia"/>
                <w:bCs/>
                <w:szCs w:val="21"/>
                <w:lang w:val="en-US" w:eastAsia="zh-CN"/>
              </w:rPr>
              <w:t>项</w:t>
            </w:r>
          </w:p>
        </w:tc>
        <w:tc>
          <w:tcPr>
            <w:tcW w:w="821" w:type="pct"/>
            <w:vAlign w:val="center"/>
          </w:tcPr>
          <w:p w14:paraId="27642A44">
            <w:pPr>
              <w:jc w:val="center"/>
              <w:rPr>
                <w:rFonts w:hint="eastAsia" w:eastAsia="宋体"/>
                <w:bCs/>
                <w:szCs w:val="21"/>
                <w:lang w:val="en-US" w:eastAsia="zh-CN"/>
              </w:rPr>
            </w:pPr>
            <w:r>
              <w:rPr>
                <w:rFonts w:hint="eastAsia"/>
                <w:bCs/>
                <w:szCs w:val="21"/>
                <w:lang w:val="en-US" w:eastAsia="zh-CN"/>
              </w:rPr>
              <w:t>是</w:t>
            </w:r>
          </w:p>
        </w:tc>
        <w:tc>
          <w:tcPr>
            <w:tcW w:w="729" w:type="pct"/>
            <w:vAlign w:val="center"/>
          </w:tcPr>
          <w:p w14:paraId="06E3E838">
            <w:pPr>
              <w:jc w:val="center"/>
              <w:rPr>
                <w:rFonts w:hint="eastAsia" w:eastAsia="宋体"/>
                <w:bCs/>
                <w:szCs w:val="21"/>
                <w:lang w:val="en-US" w:eastAsia="zh-CN"/>
              </w:rPr>
            </w:pPr>
            <w:r>
              <w:rPr>
                <w:rFonts w:hint="eastAsia" w:eastAsia="宋体"/>
                <w:bCs/>
                <w:szCs w:val="21"/>
                <w:lang w:val="en-US" w:eastAsia="zh-CN"/>
              </w:rPr>
              <w:t>其他未列明行业</w:t>
            </w:r>
          </w:p>
        </w:tc>
      </w:tr>
    </w:tbl>
    <w:p w14:paraId="6106F5B1">
      <w:pPr>
        <w:rPr>
          <w:rFonts w:ascii="宋体" w:hAnsi="宋体"/>
          <w:b/>
          <w:color w:val="FF0000"/>
          <w:szCs w:val="21"/>
        </w:rPr>
      </w:pPr>
    </w:p>
    <w:p w14:paraId="39958F47">
      <w:pPr>
        <w:pStyle w:val="2"/>
        <w:spacing w:before="120" w:beforeLines="50" w:after="120" w:afterLines="50"/>
        <w:rPr>
          <w:szCs w:val="24"/>
        </w:rPr>
      </w:pPr>
      <w:r>
        <w:rPr>
          <w:rFonts w:hint="eastAsia"/>
          <w:szCs w:val="24"/>
        </w:rPr>
        <w:t>四、实质性条款</w:t>
      </w:r>
    </w:p>
    <w:tbl>
      <w:tblPr>
        <w:tblStyle w:val="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0C8A8DEC">
        <w:tblPrEx>
          <w:tblCellMar>
            <w:top w:w="0" w:type="dxa"/>
            <w:left w:w="108" w:type="dxa"/>
            <w:bottom w:w="0" w:type="dxa"/>
            <w:right w:w="108" w:type="dxa"/>
          </w:tblCellMar>
        </w:tblPrEx>
        <w:tc>
          <w:tcPr>
            <w:tcW w:w="734" w:type="dxa"/>
          </w:tcPr>
          <w:p w14:paraId="1213A360">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795" w:type="dxa"/>
          </w:tcPr>
          <w:p w14:paraId="539DB2C3">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37B5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D3700FA">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tcPr>
          <w:p w14:paraId="40C4F7CD">
            <w:pPr>
              <w:rPr>
                <w:rFonts w:hAnsi="宋体" w:eastAsiaTheme="minorEastAsia"/>
                <w:kern w:val="0"/>
                <w:szCs w:val="21"/>
              </w:rPr>
            </w:pPr>
            <w:r>
              <w:rPr>
                <w:rFonts w:hint="eastAsia" w:hAnsi="宋体" w:eastAsiaTheme="minorEastAsia"/>
                <w:kern w:val="0"/>
                <w:szCs w:val="21"/>
              </w:rPr>
              <w:t>具体以采购文件第三章 用户需求书中带“★”的需求项为准。</w:t>
            </w:r>
          </w:p>
        </w:tc>
      </w:tr>
    </w:tbl>
    <w:p w14:paraId="6CB2337F">
      <w:pPr>
        <w:pStyle w:val="4"/>
        <w:tabs>
          <w:tab w:val="left" w:pos="765"/>
        </w:tabs>
        <w:rPr>
          <w:rFonts w:ascii="黑体"/>
          <w:b w:val="0"/>
          <w:kern w:val="0"/>
          <w:sz w:val="24"/>
          <w:szCs w:val="24"/>
        </w:rPr>
      </w:pPr>
      <w:r>
        <w:rPr>
          <w:rFonts w:hint="eastAsia" w:ascii="黑体"/>
          <w:b w:val="0"/>
          <w:kern w:val="0"/>
          <w:sz w:val="24"/>
          <w:szCs w:val="24"/>
        </w:rPr>
        <w:t>注：上表所列内容为不可负偏离条款，负偏离将视为未实质性满足招标文件要求作投标无效处理。</w:t>
      </w:r>
      <w:bookmarkEnd w:id="0"/>
    </w:p>
    <w:p w14:paraId="0FA41135">
      <w:pPr>
        <w:rPr>
          <w:b/>
          <w:bCs/>
          <w:sz w:val="24"/>
        </w:rPr>
      </w:pPr>
    </w:p>
    <w:p w14:paraId="60586214">
      <w:pPr>
        <w:pStyle w:val="2"/>
        <w:spacing w:before="120" w:beforeLines="50" w:after="120" w:afterLines="50"/>
        <w:rPr>
          <w:szCs w:val="24"/>
        </w:rPr>
      </w:pPr>
      <w:r>
        <w:rPr>
          <w:rFonts w:hint="eastAsia"/>
          <w:szCs w:val="24"/>
        </w:rPr>
        <w:t>五、技术要求</w:t>
      </w:r>
    </w:p>
    <w:p w14:paraId="0F6D6FD1">
      <w:pPr>
        <w:spacing w:line="240" w:lineRule="auto"/>
        <w:rPr>
          <w:rFonts w:hint="eastAsia" w:ascii="宋体" w:hAnsi="宋体" w:eastAsia="宋体" w:cs="宋体"/>
          <w:b/>
          <w:bCs/>
          <w:sz w:val="22"/>
          <w:szCs w:val="22"/>
        </w:rPr>
      </w:pPr>
      <w:r>
        <w:rPr>
          <w:rFonts w:hint="eastAsia" w:ascii="宋体" w:hAnsi="宋体" w:eastAsia="宋体" w:cs="宋体"/>
          <w:b/>
          <w:bCs/>
          <w:sz w:val="22"/>
          <w:szCs w:val="22"/>
        </w:rPr>
        <w:t>（一）总体情况</w:t>
      </w:r>
    </w:p>
    <w:p w14:paraId="32DA186E">
      <w:pPr>
        <w:pStyle w:val="11"/>
        <w:spacing w:line="240" w:lineRule="auto"/>
        <w:jc w:val="left"/>
        <w:rPr>
          <w:rFonts w:hint="eastAsia" w:ascii="宋体" w:hAnsi="宋体" w:eastAsia="宋体" w:cs="宋体"/>
          <w:sz w:val="22"/>
          <w:szCs w:val="22"/>
        </w:rPr>
      </w:pPr>
      <w:r>
        <w:rPr>
          <w:rFonts w:hint="eastAsia" w:ascii="宋体" w:hAnsi="宋体" w:eastAsia="宋体" w:cs="宋体"/>
          <w:sz w:val="22"/>
          <w:szCs w:val="22"/>
        </w:rPr>
        <w:t>1.工程类型：深圳大学总医院零星修缮工程</w:t>
      </w:r>
    </w:p>
    <w:p w14:paraId="4063AB53">
      <w:pPr>
        <w:pStyle w:val="11"/>
        <w:spacing w:line="240" w:lineRule="auto"/>
        <w:jc w:val="left"/>
        <w:rPr>
          <w:rFonts w:hint="eastAsia" w:ascii="宋体" w:hAnsi="宋体" w:eastAsia="宋体" w:cs="宋体"/>
          <w:sz w:val="22"/>
          <w:szCs w:val="22"/>
        </w:rPr>
      </w:pPr>
      <w:r>
        <w:rPr>
          <w:rFonts w:hint="eastAsia" w:ascii="宋体" w:hAnsi="宋体" w:eastAsia="宋体" w:cs="宋体"/>
          <w:sz w:val="22"/>
          <w:szCs w:val="22"/>
        </w:rPr>
        <w:t>2.工程地址：深圳市南山区学苑大道1</w:t>
      </w:r>
      <w:r>
        <w:rPr>
          <w:rFonts w:hint="eastAsia" w:ascii="宋体" w:hAnsi="宋体" w:cs="宋体"/>
          <w:sz w:val="22"/>
          <w:szCs w:val="22"/>
          <w:lang w:val="en-US" w:eastAsia="zh-CN"/>
        </w:rPr>
        <w:t>2</w:t>
      </w:r>
      <w:r>
        <w:rPr>
          <w:rFonts w:hint="eastAsia" w:ascii="宋体" w:hAnsi="宋体" w:eastAsia="宋体" w:cs="宋体"/>
          <w:sz w:val="22"/>
          <w:szCs w:val="22"/>
        </w:rPr>
        <w:t>98号深圳大学总医院内 （包含住院楼、门诊、行政楼、感控楼、后勤楼等）</w:t>
      </w:r>
    </w:p>
    <w:p w14:paraId="3714D70A">
      <w:pPr>
        <w:pStyle w:val="11"/>
        <w:spacing w:line="240" w:lineRule="auto"/>
        <w:jc w:val="left"/>
        <w:rPr>
          <w:rFonts w:hint="eastAsia" w:ascii="宋体" w:hAnsi="宋体" w:eastAsia="宋体" w:cs="宋体"/>
          <w:sz w:val="22"/>
          <w:szCs w:val="22"/>
        </w:rPr>
      </w:pPr>
      <w:r>
        <w:rPr>
          <w:rFonts w:hint="eastAsia" w:ascii="宋体" w:hAnsi="宋体" w:eastAsia="宋体" w:cs="宋体"/>
          <w:sz w:val="22"/>
          <w:szCs w:val="22"/>
        </w:rPr>
        <w:t>3.施工单位：深圳大学总医院</w:t>
      </w:r>
    </w:p>
    <w:p w14:paraId="456C2B53">
      <w:pPr>
        <w:pStyle w:val="11"/>
        <w:spacing w:line="240" w:lineRule="auto"/>
        <w:jc w:val="left"/>
        <w:rPr>
          <w:rFonts w:hint="eastAsia" w:ascii="宋体" w:hAnsi="宋体" w:eastAsia="宋体" w:cs="宋体"/>
          <w:sz w:val="22"/>
          <w:szCs w:val="22"/>
        </w:rPr>
      </w:pPr>
      <w:r>
        <w:rPr>
          <w:rFonts w:hint="eastAsia" w:ascii="宋体" w:hAnsi="宋体" w:eastAsia="宋体" w:cs="宋体"/>
          <w:sz w:val="22"/>
          <w:szCs w:val="22"/>
        </w:rPr>
        <w:t>4.工程范围：深圳大学总医院单项金额</w:t>
      </w:r>
      <w:r>
        <w:rPr>
          <w:rFonts w:hint="eastAsia" w:ascii="宋体" w:hAnsi="宋体" w:cs="宋体"/>
          <w:sz w:val="22"/>
          <w:szCs w:val="22"/>
          <w:lang w:val="en-US" w:eastAsia="zh-CN"/>
        </w:rPr>
        <w:t>20</w:t>
      </w:r>
      <w:r>
        <w:rPr>
          <w:rFonts w:hint="eastAsia" w:ascii="宋体" w:hAnsi="宋体" w:eastAsia="宋体" w:cs="宋体"/>
          <w:sz w:val="22"/>
          <w:szCs w:val="22"/>
        </w:rPr>
        <w:t>万元（不含）以下的零星修缮工程。包括但不限于以下内容：</w:t>
      </w:r>
    </w:p>
    <w:p w14:paraId="19927046">
      <w:pPr>
        <w:pStyle w:val="11"/>
        <w:spacing w:line="240" w:lineRule="auto"/>
        <w:jc w:val="left"/>
        <w:rPr>
          <w:rFonts w:hint="eastAsia" w:ascii="宋体" w:hAnsi="宋体" w:eastAsia="宋体" w:cs="宋体"/>
          <w:sz w:val="22"/>
          <w:szCs w:val="22"/>
        </w:rPr>
      </w:pPr>
      <w:r>
        <w:rPr>
          <w:rFonts w:hint="eastAsia" w:ascii="宋体" w:hAnsi="宋体" w:eastAsia="宋体" w:cs="宋体"/>
          <w:sz w:val="22"/>
          <w:szCs w:val="22"/>
        </w:rPr>
        <w:t>（1）建筑室内外</w:t>
      </w:r>
      <w:r>
        <w:rPr>
          <w:rFonts w:hint="eastAsia" w:ascii="宋体" w:hAnsi="宋体" w:cs="宋体"/>
          <w:sz w:val="22"/>
          <w:szCs w:val="22"/>
          <w:lang w:val="en-US" w:eastAsia="zh-CN"/>
        </w:rPr>
        <w:t>装修、外立面、幕墙、门窗维修、公共设施维系、</w:t>
      </w:r>
      <w:r>
        <w:rPr>
          <w:rFonts w:hint="eastAsia" w:ascii="宋体" w:hAnsi="宋体" w:eastAsia="宋体" w:cs="宋体"/>
          <w:sz w:val="22"/>
          <w:szCs w:val="22"/>
        </w:rPr>
        <w:t>局部零星修缮改造</w:t>
      </w:r>
      <w:r>
        <w:rPr>
          <w:rFonts w:hint="eastAsia" w:ascii="宋体" w:hAnsi="宋体" w:cs="宋体"/>
          <w:sz w:val="22"/>
          <w:szCs w:val="22"/>
          <w:lang w:eastAsia="zh-CN"/>
        </w:rPr>
        <w:t>、</w:t>
      </w:r>
      <w:r>
        <w:rPr>
          <w:rFonts w:hint="eastAsia" w:ascii="宋体" w:hAnsi="宋体" w:cs="宋体"/>
          <w:sz w:val="22"/>
          <w:szCs w:val="22"/>
          <w:lang w:val="en-US" w:eastAsia="zh-CN"/>
        </w:rPr>
        <w:t>结构类改造</w:t>
      </w:r>
      <w:r>
        <w:rPr>
          <w:rFonts w:hint="eastAsia" w:ascii="宋体" w:hAnsi="宋体" w:eastAsia="宋体" w:cs="宋体"/>
          <w:sz w:val="22"/>
          <w:szCs w:val="22"/>
        </w:rPr>
        <w:t>；</w:t>
      </w:r>
    </w:p>
    <w:p w14:paraId="5DEDEA6F">
      <w:pPr>
        <w:pStyle w:val="11"/>
        <w:spacing w:line="240" w:lineRule="auto"/>
        <w:jc w:val="left"/>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cs="宋体"/>
          <w:sz w:val="22"/>
          <w:szCs w:val="22"/>
          <w:lang w:val="en-US" w:eastAsia="zh-CN"/>
        </w:rPr>
        <w:t>机电专项、净化专项、防辐射专项、</w:t>
      </w:r>
      <w:r>
        <w:rPr>
          <w:rFonts w:hint="eastAsia" w:ascii="宋体" w:hAnsi="宋体" w:eastAsia="宋体" w:cs="宋体"/>
          <w:sz w:val="22"/>
          <w:szCs w:val="22"/>
        </w:rPr>
        <w:t>局部零星强弱电修缮改造；</w:t>
      </w:r>
    </w:p>
    <w:p w14:paraId="43FEFDE3">
      <w:pPr>
        <w:pStyle w:val="11"/>
        <w:spacing w:line="240" w:lineRule="auto"/>
        <w:jc w:val="left"/>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cs="宋体"/>
          <w:sz w:val="22"/>
          <w:szCs w:val="22"/>
          <w:lang w:val="en-US" w:eastAsia="zh-CN"/>
        </w:rPr>
        <w:t>全院建筑本体</w:t>
      </w:r>
      <w:r>
        <w:rPr>
          <w:rFonts w:hint="eastAsia" w:ascii="宋体" w:hAnsi="宋体" w:eastAsia="宋体" w:cs="宋体"/>
          <w:sz w:val="22"/>
          <w:szCs w:val="22"/>
        </w:rPr>
        <w:t>防水补漏；</w:t>
      </w:r>
    </w:p>
    <w:p w14:paraId="06379856">
      <w:pPr>
        <w:pStyle w:val="11"/>
        <w:spacing w:line="240" w:lineRule="auto"/>
        <w:jc w:val="left"/>
        <w:rPr>
          <w:rFonts w:hint="eastAsia" w:ascii="宋体" w:hAnsi="宋体" w:eastAsia="宋体" w:cs="宋体"/>
          <w:sz w:val="22"/>
          <w:szCs w:val="22"/>
        </w:rPr>
      </w:pPr>
      <w:r>
        <w:rPr>
          <w:rFonts w:hint="eastAsia" w:ascii="宋体" w:hAnsi="宋体" w:eastAsia="宋体" w:cs="宋体"/>
          <w:sz w:val="22"/>
          <w:szCs w:val="22"/>
        </w:rPr>
        <w:t>（4）基建设施突发故障修缮；</w:t>
      </w:r>
    </w:p>
    <w:p w14:paraId="05A9ADCD">
      <w:pPr>
        <w:pStyle w:val="11"/>
        <w:spacing w:line="240" w:lineRule="auto"/>
        <w:jc w:val="left"/>
        <w:rPr>
          <w:rFonts w:hint="eastAsia" w:ascii="宋体" w:hAnsi="宋体" w:eastAsia="宋体" w:cs="宋体"/>
          <w:sz w:val="22"/>
          <w:szCs w:val="22"/>
        </w:rPr>
      </w:pPr>
      <w:r>
        <w:rPr>
          <w:rFonts w:hint="eastAsia" w:ascii="宋体" w:hAnsi="宋体" w:eastAsia="宋体" w:cs="宋体"/>
          <w:sz w:val="22"/>
          <w:szCs w:val="22"/>
        </w:rPr>
        <w:t>（5）消防、通风空调修缮改造；</w:t>
      </w:r>
    </w:p>
    <w:p w14:paraId="761176A3">
      <w:pPr>
        <w:pStyle w:val="11"/>
        <w:spacing w:line="240" w:lineRule="auto"/>
        <w:jc w:val="left"/>
        <w:rPr>
          <w:rFonts w:hint="eastAsia" w:ascii="宋体" w:hAnsi="宋体" w:eastAsia="宋体" w:cs="宋体"/>
          <w:sz w:val="22"/>
          <w:szCs w:val="22"/>
        </w:rPr>
      </w:pPr>
      <w:r>
        <w:rPr>
          <w:rFonts w:hint="eastAsia" w:ascii="宋体" w:hAnsi="宋体" w:eastAsia="宋体" w:cs="宋体"/>
          <w:sz w:val="22"/>
          <w:szCs w:val="22"/>
        </w:rPr>
        <w:t>（6）</w:t>
      </w:r>
      <w:r>
        <w:rPr>
          <w:rFonts w:hint="eastAsia" w:ascii="宋体" w:hAnsi="宋体" w:cs="宋体"/>
          <w:sz w:val="22"/>
          <w:szCs w:val="22"/>
          <w:lang w:val="en-US" w:eastAsia="zh-CN"/>
        </w:rPr>
        <w:t>给排水管道、道路、</w:t>
      </w:r>
      <w:r>
        <w:rPr>
          <w:rFonts w:hint="eastAsia" w:ascii="宋体" w:hAnsi="宋体" w:eastAsia="宋体" w:cs="宋体"/>
          <w:sz w:val="22"/>
          <w:szCs w:val="22"/>
        </w:rPr>
        <w:t>管网、管线改造；</w:t>
      </w:r>
    </w:p>
    <w:p w14:paraId="1585638D">
      <w:pPr>
        <w:pStyle w:val="11"/>
        <w:spacing w:line="240" w:lineRule="auto"/>
        <w:jc w:val="left"/>
        <w:rPr>
          <w:rFonts w:hint="eastAsia" w:ascii="宋体" w:hAnsi="宋体" w:eastAsia="宋体" w:cs="宋体"/>
          <w:sz w:val="22"/>
          <w:szCs w:val="22"/>
        </w:rPr>
      </w:pPr>
      <w:r>
        <w:rPr>
          <w:rFonts w:hint="eastAsia" w:ascii="宋体" w:hAnsi="宋体" w:eastAsia="宋体" w:cs="宋体"/>
          <w:sz w:val="22"/>
          <w:szCs w:val="22"/>
        </w:rPr>
        <w:t>（7）应急类事项，如应对恶劣天气、公共卫生事件、突发紧急情况下进行抢险及维修项目；</w:t>
      </w:r>
    </w:p>
    <w:p w14:paraId="24E8A70D">
      <w:pPr>
        <w:pStyle w:val="11"/>
        <w:spacing w:line="240" w:lineRule="auto"/>
        <w:jc w:val="left"/>
        <w:rPr>
          <w:rFonts w:hint="eastAsia" w:ascii="宋体" w:hAnsi="宋体" w:eastAsia="宋体" w:cs="宋体"/>
          <w:sz w:val="22"/>
          <w:szCs w:val="22"/>
        </w:rPr>
      </w:pPr>
      <w:r>
        <w:rPr>
          <w:rFonts w:hint="eastAsia" w:ascii="宋体" w:hAnsi="宋体" w:eastAsia="宋体" w:cs="宋体"/>
          <w:sz w:val="22"/>
          <w:szCs w:val="22"/>
        </w:rPr>
        <w:t>（8）上级机关对深圳大学总医院检查工作中发现需要限时立即整改的项目；</w:t>
      </w:r>
    </w:p>
    <w:p w14:paraId="2236724D">
      <w:pPr>
        <w:pStyle w:val="11"/>
        <w:spacing w:line="240" w:lineRule="auto"/>
        <w:jc w:val="left"/>
        <w:rPr>
          <w:rFonts w:hint="eastAsia" w:ascii="宋体" w:hAnsi="宋体" w:eastAsia="宋体" w:cs="宋体"/>
          <w:sz w:val="22"/>
          <w:szCs w:val="22"/>
        </w:rPr>
      </w:pPr>
      <w:r>
        <w:rPr>
          <w:rFonts w:hint="eastAsia" w:ascii="宋体" w:hAnsi="宋体" w:eastAsia="宋体" w:cs="宋体"/>
          <w:sz w:val="22"/>
          <w:szCs w:val="22"/>
        </w:rPr>
        <w:t>完成上述范围的项目设计和施工，采用设计-施工一体化实施该项目，设计图经采购人确认后才能进行下一步施工。</w:t>
      </w:r>
    </w:p>
    <w:p w14:paraId="532E4FA6">
      <w:pPr>
        <w:spacing w:line="24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（二）工程质量标准</w:t>
      </w:r>
    </w:p>
    <w:p w14:paraId="5BC6B81F">
      <w:pPr>
        <w:spacing w:line="240" w:lineRule="auto"/>
        <w:ind w:firstLine="440" w:firstLineChars="200"/>
        <w:rPr>
          <w:rFonts w:hint="eastAsia" w:ascii="宋体" w:hAnsi="宋体" w:eastAsia="宋体" w:cs="宋体"/>
          <w:bCs/>
          <w:sz w:val="22"/>
          <w:szCs w:val="22"/>
        </w:rPr>
      </w:pPr>
      <w:r>
        <w:rPr>
          <w:rFonts w:hint="eastAsia" w:ascii="宋体" w:hAnsi="宋体" w:eastAsia="宋体" w:cs="宋体"/>
          <w:bCs/>
          <w:sz w:val="22"/>
          <w:szCs w:val="22"/>
        </w:rPr>
        <w:t>1.严格按施工图纸及采购人指令进行施工，按照设计文件和国家、地方及行业现行有效的有关技术标准、规范和合同规定（以孰严格者为准）施工，需达到质量验收合格标准。必要时委托第三方进行质量检测或验收，如经验收小组认定达不到验收标准的，中标人需无条件免费整改直到符合验收标准。</w:t>
      </w:r>
    </w:p>
    <w:p w14:paraId="52AE15E6">
      <w:pPr>
        <w:spacing w:line="240" w:lineRule="auto"/>
        <w:ind w:firstLine="440" w:firstLineChars="200"/>
        <w:rPr>
          <w:rFonts w:hint="eastAsia" w:ascii="宋体" w:hAnsi="宋体" w:eastAsia="宋体" w:cs="宋体"/>
          <w:bCs/>
          <w:sz w:val="22"/>
          <w:szCs w:val="22"/>
        </w:rPr>
      </w:pPr>
      <w:r>
        <w:rPr>
          <w:rFonts w:hint="eastAsia" w:ascii="宋体" w:hAnsi="宋体" w:eastAsia="宋体" w:cs="宋体"/>
          <w:bCs/>
          <w:sz w:val="22"/>
          <w:szCs w:val="22"/>
        </w:rPr>
        <w:t>2.采购人对项目全过程的各子项目进行巡查时，如有发现未按要求施工的，施工单位需无条件进行整改并接受相应的处罚，因整改产生的所有费用均由施工单位承担。</w:t>
      </w:r>
    </w:p>
    <w:p w14:paraId="4EADA13F">
      <w:pPr>
        <w:spacing w:line="240" w:lineRule="auto"/>
        <w:ind w:firstLine="440" w:firstLineChars="200"/>
        <w:rPr>
          <w:rFonts w:hint="eastAsia" w:ascii="宋体" w:hAnsi="宋体" w:eastAsia="宋体" w:cs="宋体"/>
          <w:bCs/>
          <w:sz w:val="22"/>
          <w:szCs w:val="22"/>
        </w:rPr>
      </w:pPr>
      <w:r>
        <w:rPr>
          <w:rFonts w:hint="eastAsia" w:ascii="宋体" w:hAnsi="宋体" w:eastAsia="宋体" w:cs="宋体"/>
          <w:bCs/>
          <w:sz w:val="22"/>
          <w:szCs w:val="22"/>
        </w:rPr>
        <w:t xml:space="preserve">3.项目质量保修期为：房屋建筑工程，按《房屋建筑工程质量保修办法》（建设部第80号令）的规定执行。保修期从工程竣工验收合格之日起计算，屋面防水工程、有防水要求的卫生间、房间、外墙面的防渗漏，为5年，供热与供冷系统，为2个采暖期、供冷期，装修工程为2年。 </w:t>
      </w:r>
    </w:p>
    <w:p w14:paraId="5871E9AA">
      <w:pPr>
        <w:spacing w:line="24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（三）服务要求</w:t>
      </w:r>
    </w:p>
    <w:p w14:paraId="32FE255D">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1.结合采购人需求及现场的实际情况提交改造方案，包括但不限于效果图、实施方案等，并完成施工图设计，工程完工后绘制竣工图。施工中因施工方案及施工措施所引起的费用由施工单位负责。</w:t>
      </w:r>
    </w:p>
    <w:p w14:paraId="42001A51">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2.施工图设计</w:t>
      </w:r>
      <w:r>
        <w:rPr>
          <w:rFonts w:hint="eastAsia" w:ascii="宋体" w:hAnsi="宋体" w:eastAsia="宋体" w:cs="宋体"/>
          <w:bCs/>
          <w:sz w:val="22"/>
          <w:szCs w:val="22"/>
        </w:rPr>
        <w:t>需</w:t>
      </w:r>
      <w:r>
        <w:rPr>
          <w:rFonts w:hint="eastAsia" w:ascii="宋体" w:hAnsi="宋体" w:eastAsia="宋体" w:cs="宋体"/>
          <w:bCs/>
          <w:color w:val="000000"/>
          <w:sz w:val="22"/>
          <w:szCs w:val="22"/>
        </w:rPr>
        <w:t>满足国家及地方相关行业规范、标准要求（如：医院医疗流程、院感要求、消防验收标准等），同时达到业主单位的要求，满足项目施工要求。并依据施工图/施工方案编制项目所需费用供甲方审核立项。</w:t>
      </w:r>
    </w:p>
    <w:p w14:paraId="534E2BC6">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3.中标人</w:t>
      </w:r>
      <w:r>
        <w:rPr>
          <w:rFonts w:hint="eastAsia" w:ascii="宋体" w:hAnsi="宋体" w:eastAsia="宋体" w:cs="宋体"/>
          <w:bCs/>
          <w:sz w:val="22"/>
          <w:szCs w:val="22"/>
        </w:rPr>
        <w:t>需</w:t>
      </w:r>
      <w:r>
        <w:rPr>
          <w:rFonts w:hint="eastAsia" w:ascii="宋体" w:hAnsi="宋体" w:eastAsia="宋体" w:cs="宋体"/>
          <w:bCs/>
          <w:color w:val="000000"/>
          <w:sz w:val="22"/>
          <w:szCs w:val="22"/>
        </w:rPr>
        <w:t>作好施工记录、隐蔽工程记录、施工资料的整理、竣工资料的编制等工作。中标人</w:t>
      </w:r>
      <w:r>
        <w:rPr>
          <w:rFonts w:hint="eastAsia" w:ascii="宋体" w:hAnsi="宋体" w:eastAsia="宋体" w:cs="宋体"/>
          <w:bCs/>
          <w:sz w:val="22"/>
          <w:szCs w:val="22"/>
        </w:rPr>
        <w:t>需</w:t>
      </w:r>
      <w:r>
        <w:rPr>
          <w:rFonts w:hint="eastAsia" w:ascii="宋体" w:hAnsi="宋体" w:eastAsia="宋体" w:cs="宋体"/>
          <w:bCs/>
          <w:color w:val="000000"/>
          <w:sz w:val="22"/>
          <w:szCs w:val="22"/>
        </w:rPr>
        <w:t>在施工现场显眼位置设置正规施工警示牌、工程概况牌，标注“温馨提示”语言。靠近人行通道边（或中标人以为有必要的其他周边）</w:t>
      </w:r>
      <w:r>
        <w:rPr>
          <w:rFonts w:hint="eastAsia" w:ascii="宋体" w:hAnsi="宋体" w:eastAsia="宋体" w:cs="宋体"/>
          <w:bCs/>
          <w:sz w:val="22"/>
          <w:szCs w:val="22"/>
        </w:rPr>
        <w:t>需</w:t>
      </w:r>
      <w:r>
        <w:rPr>
          <w:rFonts w:hint="eastAsia" w:ascii="宋体" w:hAnsi="宋体" w:eastAsia="宋体" w:cs="宋体"/>
          <w:bCs/>
          <w:color w:val="000000"/>
          <w:sz w:val="22"/>
          <w:szCs w:val="22"/>
        </w:rPr>
        <w:t>用整齐美观的板材围护密封施工。中标人施工</w:t>
      </w:r>
      <w:r>
        <w:rPr>
          <w:rFonts w:hint="eastAsia" w:ascii="宋体" w:hAnsi="宋体" w:eastAsia="宋体" w:cs="宋体"/>
          <w:bCs/>
          <w:sz w:val="22"/>
          <w:szCs w:val="22"/>
        </w:rPr>
        <w:t>需</w:t>
      </w:r>
      <w:r>
        <w:rPr>
          <w:rFonts w:hint="eastAsia" w:ascii="宋体" w:hAnsi="宋体" w:eastAsia="宋体" w:cs="宋体"/>
          <w:bCs/>
          <w:color w:val="000000"/>
          <w:sz w:val="22"/>
          <w:szCs w:val="22"/>
        </w:rPr>
        <w:t>达到有关部门规定的安全文明施工标准，服从采购人管理各项规定要求，避免干扰采购人正常工作秩序，认真做好施工现场防护、防火、噪音、用电等安全文明施工各项管理工作，承担相应一切责任，确保施工场地区域道路通畅，保持施工现场整洁，做到工完场清，达到国家卫生城市标准。中标人</w:t>
      </w:r>
      <w:r>
        <w:rPr>
          <w:rFonts w:hint="eastAsia" w:ascii="宋体" w:hAnsi="宋体" w:eastAsia="宋体" w:cs="宋体"/>
          <w:bCs/>
          <w:sz w:val="22"/>
          <w:szCs w:val="22"/>
        </w:rPr>
        <w:t>需</w:t>
      </w:r>
      <w:r>
        <w:rPr>
          <w:rFonts w:hint="eastAsia" w:ascii="宋体" w:hAnsi="宋体" w:eastAsia="宋体" w:cs="宋体"/>
          <w:bCs/>
          <w:color w:val="000000"/>
          <w:sz w:val="22"/>
          <w:szCs w:val="22"/>
        </w:rPr>
        <w:t>在施工过程中注意自身及周边安全，做好现场及周边安全设施搭设，遵守有关安全保护规程，负责施工过程中的所有事故处理和费用。中标人</w:t>
      </w:r>
      <w:r>
        <w:rPr>
          <w:rFonts w:hint="eastAsia" w:ascii="宋体" w:hAnsi="宋体" w:eastAsia="宋体" w:cs="宋体"/>
          <w:bCs/>
          <w:sz w:val="22"/>
          <w:szCs w:val="22"/>
        </w:rPr>
        <w:t>需</w:t>
      </w:r>
      <w:r>
        <w:rPr>
          <w:rFonts w:hint="eastAsia" w:ascii="宋体" w:hAnsi="宋体" w:eastAsia="宋体" w:cs="宋体"/>
          <w:bCs/>
          <w:color w:val="000000"/>
          <w:sz w:val="22"/>
          <w:szCs w:val="22"/>
        </w:rPr>
        <w:t>服从采购人的监督、指导并积极主动配合管理工作。</w:t>
      </w:r>
    </w:p>
    <w:p w14:paraId="4104E7D2">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4.中标人采购的所有材料、设备均应达到国家规范“合格”标准以上。发现不合格材料、设备用于本工程中，中标人应无条件返工且所产生的一切费用由施工单位自理。</w:t>
      </w:r>
    </w:p>
    <w:p w14:paraId="1B76499E">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5.中标人负责工程所需设备、材料和工具等物质的全部运输，包括装卸车、货物现场的搬运至施工地点。</w:t>
      </w:r>
    </w:p>
    <w:p w14:paraId="587A8499">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6.主要材料使用要求：</w:t>
      </w:r>
    </w:p>
    <w:p w14:paraId="109A2287">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1）采购范围之内工程所用之材料，由中标人自行采购，但应满足采购人《主要材料参考品牌表》（详见下文附件1（招标文件中所涉及产品品牌均为质量“相当于”要求，非指定性要求，投标人可自主选择质量相当的其他品牌产品投标））。投标人应在投标文件中（拟投入主要材料设备品牌清单表）列明每一项所投产品材料的具体品牌及规格型号（可自主选择质量相当的其他品牌产品），同时需提供生产厂家出具的材料合格证书及符合国家相关规定，</w:t>
      </w:r>
      <w:r>
        <w:rPr>
          <w:rFonts w:hint="eastAsia" w:ascii="宋体" w:hAnsi="宋体" w:eastAsia="宋体" w:cs="宋体"/>
          <w:color w:val="000000"/>
          <w:sz w:val="22"/>
          <w:szCs w:val="22"/>
        </w:rPr>
        <w:t>投标人标书未列明品牌及规格型号等要求的，则由采购人自定；施工时供应商不能提供的可由采购人根据市场考察情况确认并实施。</w:t>
      </w:r>
      <w:r>
        <w:rPr>
          <w:rFonts w:hint="eastAsia" w:ascii="宋体" w:hAnsi="宋体" w:eastAsia="宋体" w:cs="宋体"/>
          <w:bCs/>
          <w:color w:val="000000"/>
          <w:sz w:val="22"/>
          <w:szCs w:val="22"/>
        </w:rPr>
        <w:t>中标人施工时需提供材料样板，经采购人最终确认后，方可进场使用，中标人所提供的样板或厂家应符合设计图纸要求及采购人确认要求。用在本工程的任何材料在使用前必须得到采购人的批准，样品须在大批订货前送审。获准的样品存放在工地，作为以后验收材料的标准。样品和其包装，由中标人无偿提供。</w:t>
      </w:r>
    </w:p>
    <w:p w14:paraId="619CA3B1">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注：</w:t>
      </w:r>
    </w:p>
    <w:p w14:paraId="0D454E4A">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①投标人所提供的主要材料的技术参数标准不得低于表中所列参考品牌的技术参数标准。《主要材料参考品牌表》附件1不作为对投标人投标采用材料品牌的限制，仅作为衡量投标人投标采用材料品质是否满足采购要求的标准，投标人拟采用材料的品质需与招标文件参考品牌相当或优于参考品牌。投标人投标材料是否满足招标文件要求由评标委员会评定。</w:t>
      </w:r>
    </w:p>
    <w:p w14:paraId="3C36DE91">
      <w:pPr>
        <w:pStyle w:val="8"/>
        <w:spacing w:line="240" w:lineRule="auto"/>
        <w:rPr>
          <w:rFonts w:hint="eastAsia" w:ascii="宋体" w:hAnsi="宋体" w:eastAsia="宋体" w:cs="宋体"/>
          <w:bCs/>
          <w:color w:val="000000"/>
          <w:sz w:val="22"/>
          <w:szCs w:val="22"/>
          <w:highlight w:val="yellow"/>
        </w:rPr>
      </w:pPr>
      <w:r>
        <w:rPr>
          <w:rFonts w:hint="eastAsia" w:ascii="宋体" w:hAnsi="宋体" w:eastAsia="宋体" w:cs="宋体"/>
          <w:bCs/>
          <w:color w:val="000000"/>
          <w:sz w:val="22"/>
          <w:szCs w:val="22"/>
        </w:rPr>
        <w:t>②施工单位应使用参考品牌或具有同等质量的品牌，因现场情况不能使用投标文件中列明的品牌，需经过采购人审批同意，验收时采购人可视情况要求施工单位提供与供货商签订的供货合同。出示的所有验收资料须足以证明施工单位采购的材料是符合采购人要求且用于本项目中。</w:t>
      </w:r>
    </w:p>
    <w:p w14:paraId="16552F27">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（2）设备、材料和工具等物资在施工现场的保管由供应商自行负责，直至项目施工、安装、验收完毕为止。</w:t>
      </w:r>
    </w:p>
    <w:p w14:paraId="463F5720">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（3）设备、材料和工具等物资在安装调试验收合格前的保险由施工方负责，施工方负责其派出的现场服务人员人身意外保险。</w:t>
      </w:r>
    </w:p>
    <w:p w14:paraId="2E1FA923">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（4）采购人保留对本工程使用之主要材料品质确认审查的权利。</w:t>
      </w:r>
    </w:p>
    <w:p w14:paraId="66EF391C">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7.本项目主要工程内容包括但不限于装饰装修工程、土建局部零星拆改、强弱电、通风空调、消防、给排水、室外管网系统等，在工程技术要求方面，施工单位需遵守国家相关法律法规，采购人根据国家法律法规及相关政策要求进行工程监管、质量验收。如有未明确事宜根据使用科室要求及现场条件具体商定。</w:t>
      </w:r>
    </w:p>
    <w:p w14:paraId="00B76956">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8.项目进度安排</w:t>
      </w:r>
    </w:p>
    <w:p w14:paraId="45787C12">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（1）反应时限要求：</w:t>
      </w:r>
    </w:p>
    <w:p w14:paraId="409ED29C">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接到基建设施突发故障或紧急抢修施工需求后，需在2小时内派人到现场查勘及抢修。如果到现场人员无法或无能力处理的，公司需增派能解决问题的专业人员在4小时内赶到现场支援。否则每次扣罚工程款1000元，累计3次以上的将解除合同，并索赔损失。</w:t>
      </w:r>
    </w:p>
    <w:p w14:paraId="64FEEAE2">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（2）完成设计方案时限要求：</w:t>
      </w:r>
    </w:p>
    <w:p w14:paraId="6D85E33F">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接到基建设施突发故障或紧急修缮施工需求后，需在现场提出修缮方案。</w:t>
      </w:r>
    </w:p>
    <w:p w14:paraId="7A956B0A">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造价2000元以下的修缮施工项目需在当天内完成修缮设计方案。</w:t>
      </w:r>
    </w:p>
    <w:p w14:paraId="22A864DD">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造价20000元以下的修缮施工项目需在2个日历天内完成修缮设计方案。</w:t>
      </w:r>
    </w:p>
    <w:p w14:paraId="316B8D70">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造价2万元以上-5万元以下的修缮施工项目需在3个日历天内完成修缮设计方案。</w:t>
      </w:r>
    </w:p>
    <w:p w14:paraId="199E5ED2">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造价5万元以上-</w:t>
      </w:r>
      <w:r>
        <w:rPr>
          <w:rFonts w:hint="eastAsia" w:ascii="宋体" w:hAnsi="宋体" w:cs="宋体"/>
          <w:bCs/>
          <w:color w:val="000000"/>
          <w:sz w:val="22"/>
          <w:szCs w:val="22"/>
          <w:lang w:val="en-US" w:eastAsia="zh-CN"/>
        </w:rPr>
        <w:t>20</w:t>
      </w:r>
      <w:r>
        <w:rPr>
          <w:rFonts w:hint="eastAsia" w:ascii="宋体" w:hAnsi="宋体" w:eastAsia="宋体" w:cs="宋体"/>
          <w:bCs/>
          <w:color w:val="000000"/>
          <w:sz w:val="22"/>
          <w:szCs w:val="22"/>
        </w:rPr>
        <w:t>万元以下的修缮施工项目需在3个日历天内完成修缮设计方案。</w:t>
      </w:r>
    </w:p>
    <w:p w14:paraId="4EFCFBC4">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涉及外观的修缮设计方案需要提供效果图和材料样品外观选样。</w:t>
      </w:r>
    </w:p>
    <w:p w14:paraId="60E4EB34">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（3）完成修缮施工时限要求：</w:t>
      </w:r>
    </w:p>
    <w:p w14:paraId="3BE00AF3">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造价2000元以下的修缮施工项目需在确定修缮方案后2个日历天内完成修缮施工。</w:t>
      </w:r>
    </w:p>
    <w:p w14:paraId="04CD5EAB">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造价20000元以下的修缮施工项目需在确定修缮方案后5个日历天内完成修缮施工。</w:t>
      </w:r>
    </w:p>
    <w:p w14:paraId="7B0A861F">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造价2万元以上-5万元以下的修缮施工项目需在确定修缮方案后7个日历天内完成修缮施工。</w:t>
      </w:r>
    </w:p>
    <w:p w14:paraId="1A227580">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造价5万元以上-</w:t>
      </w:r>
      <w:r>
        <w:rPr>
          <w:rFonts w:hint="eastAsia" w:ascii="宋体" w:hAnsi="宋体" w:cs="宋体"/>
          <w:bCs/>
          <w:color w:val="000000"/>
          <w:sz w:val="22"/>
          <w:szCs w:val="22"/>
          <w:lang w:val="en-US" w:eastAsia="zh-CN"/>
        </w:rPr>
        <w:t>20</w:t>
      </w:r>
      <w:r>
        <w:rPr>
          <w:rFonts w:hint="eastAsia" w:ascii="宋体" w:hAnsi="宋体" w:eastAsia="宋体" w:cs="宋体"/>
          <w:bCs/>
          <w:color w:val="000000"/>
          <w:sz w:val="22"/>
          <w:szCs w:val="22"/>
        </w:rPr>
        <w:t>万元以下的修缮施工项目需在确定修缮方案后10个日历天内完成修缮施工。</w:t>
      </w:r>
    </w:p>
    <w:p w14:paraId="38F38E3F">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9.其他要求</w:t>
      </w:r>
    </w:p>
    <w:p w14:paraId="3D0F5CA0">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（1）相关施工作业人员按规定需持证上岗的，需提供上岗证明，否则发现一次罚扣工程款500元。</w:t>
      </w:r>
    </w:p>
    <w:p w14:paraId="2C1A9D62">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2）本项目为医院项目，需要严格施工现场管理，施工人员需严格遵守医院相关规定，并与物业公司签订安全文明施工协议缴纳安全押金，施工过程需要做好相关保护措施及环保措施，不能影响医院业务运行和人员安全。否则发现一次罚扣工程款500元，并且发包方有权终止合同。因保护措施不到位导致人员死伤或财物损坏的，由施工方负责赔偿责任。</w:t>
      </w:r>
    </w:p>
    <w:p w14:paraId="679C597A">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3）中标方需严格按照规定的时限完成施工，否则，采购人将视延误工期情况程度进行处罚。处罚方式：延误工期7天之内，工期每延期一天发包方对中标人进行500元的处罚；延误工期超过7天的，从第8天开始，处罚金额为每天1000元。超时限30天或以上的，发包方有权终止承包合同，并将提请主管部门作不良记录备案。</w:t>
      </w:r>
    </w:p>
    <w:p w14:paraId="450DC509">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（4）本项目禁止转包，否则发现一次罚扣工程款500元，并且发包方有权终止合同。</w:t>
      </w:r>
    </w:p>
    <w:p w14:paraId="7E6D6A1E">
      <w:pPr>
        <w:pStyle w:val="8"/>
        <w:spacing w:line="240" w:lineRule="auto"/>
        <w:rPr>
          <w:rFonts w:hint="eastAsia" w:ascii="宋体" w:hAnsi="宋体" w:eastAsia="宋体" w:cs="宋体"/>
          <w:bCs/>
          <w:color w:val="000000"/>
          <w:sz w:val="22"/>
          <w:szCs w:val="22"/>
        </w:rPr>
      </w:pPr>
      <w:r>
        <w:rPr>
          <w:rFonts w:hint="eastAsia" w:ascii="宋体" w:hAnsi="宋体" w:eastAsia="宋体" w:cs="宋体"/>
          <w:bCs/>
          <w:color w:val="000000"/>
          <w:sz w:val="22"/>
          <w:szCs w:val="22"/>
        </w:rPr>
        <w:t>（5）中标人需保证施工质量达到验收标准，否则中标人需无条件免费整改直到符合验收标准，并赔偿发包方所有损失。</w:t>
      </w:r>
    </w:p>
    <w:p w14:paraId="3B5FAFF5">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b w:val="0"/>
          <w:bCs w:val="0"/>
          <w:sz w:val="21"/>
          <w:szCs w:val="21"/>
          <w:lang w:val="en-US" w:eastAsia="zh-CN"/>
        </w:rPr>
      </w:pPr>
      <w:r>
        <w:rPr>
          <w:rFonts w:hint="eastAsia" w:ascii="宋体" w:hAnsi="宋体" w:cs="宋体"/>
          <w:bCs/>
          <w:color w:val="000000"/>
          <w:sz w:val="22"/>
          <w:szCs w:val="22"/>
          <w:lang w:eastAsia="zh-CN"/>
        </w:rPr>
        <w:t>（</w:t>
      </w:r>
      <w:r>
        <w:rPr>
          <w:rFonts w:hint="eastAsia" w:ascii="宋体" w:hAnsi="宋体" w:cs="宋体"/>
          <w:bCs/>
          <w:color w:val="000000"/>
          <w:sz w:val="22"/>
          <w:szCs w:val="22"/>
          <w:lang w:val="en-US" w:eastAsia="zh-CN"/>
        </w:rPr>
        <w:t>6</w:t>
      </w:r>
      <w:r>
        <w:rPr>
          <w:rFonts w:hint="eastAsia" w:ascii="宋体" w:hAnsi="宋体" w:cs="宋体"/>
          <w:bCs/>
          <w:color w:val="000000"/>
          <w:sz w:val="22"/>
          <w:szCs w:val="22"/>
          <w:lang w:eastAsia="zh-CN"/>
        </w:rPr>
        <w:t>）</w:t>
      </w:r>
      <w:r>
        <w:rPr>
          <w:rFonts w:hint="eastAsia" w:ascii="宋体" w:hAnsi="宋体" w:eastAsia="宋体" w:cs="宋体"/>
          <w:b w:val="0"/>
          <w:bCs w:val="0"/>
          <w:sz w:val="21"/>
          <w:szCs w:val="21"/>
          <w:lang w:val="en-US" w:eastAsia="zh-CN"/>
        </w:rPr>
        <w:t>对未实施的修缮项目，编造、伪造验收资料进行谎报结算审计的，按送审金额进行罚款。</w:t>
      </w:r>
    </w:p>
    <w:p w14:paraId="7D8E8636">
      <w:pPr>
        <w:pStyle w:val="8"/>
        <w:spacing w:line="240" w:lineRule="auto"/>
        <w:ind w:firstLine="422"/>
        <w:rPr>
          <w:rFonts w:hint="eastAsia" w:ascii="宋体" w:hAnsi="宋体" w:eastAsia="宋体" w:cs="宋体"/>
          <w:b/>
          <w:color w:val="000000"/>
          <w:sz w:val="22"/>
          <w:szCs w:val="22"/>
        </w:rPr>
      </w:pPr>
      <w:r>
        <w:rPr>
          <w:rFonts w:hint="eastAsia" w:hAnsi="宋体" w:eastAsiaTheme="minorEastAsia"/>
          <w:kern w:val="0"/>
          <w:szCs w:val="21"/>
        </w:rPr>
        <w:t>★</w:t>
      </w:r>
      <w:r>
        <w:rPr>
          <w:rFonts w:hint="eastAsia" w:ascii="宋体" w:hAnsi="宋体" w:eastAsia="宋体" w:cs="宋体"/>
          <w:b/>
          <w:color w:val="000000"/>
          <w:sz w:val="22"/>
          <w:szCs w:val="22"/>
        </w:rPr>
        <w:t>（四）人员要求</w:t>
      </w:r>
    </w:p>
    <w:p w14:paraId="5A0A8959">
      <w:pPr>
        <w:tabs>
          <w:tab w:val="left" w:pos="567"/>
        </w:tabs>
        <w:adjustRightInd w:val="0"/>
        <w:snapToGrid w:val="0"/>
        <w:spacing w:line="240" w:lineRule="auto"/>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sz w:val="22"/>
          <w:szCs w:val="22"/>
        </w:rPr>
        <w:t>投标人需提供符合本项目需求的项目团队人员，且</w:t>
      </w:r>
      <w:r>
        <w:rPr>
          <w:rFonts w:hint="eastAsia" w:ascii="宋体" w:hAnsi="宋体" w:eastAsia="宋体" w:cs="宋体"/>
          <w:color w:val="000000"/>
          <w:sz w:val="22"/>
          <w:szCs w:val="22"/>
        </w:rPr>
        <w:t>为投标单位员工</w:t>
      </w:r>
      <w:r>
        <w:rPr>
          <w:rFonts w:hint="eastAsia" w:ascii="宋体" w:hAnsi="宋体" w:eastAsia="宋体" w:cs="宋体"/>
          <w:sz w:val="22"/>
          <w:szCs w:val="22"/>
        </w:rPr>
        <w:t>，团队人员</w:t>
      </w:r>
      <w:r>
        <w:rPr>
          <w:rFonts w:hint="eastAsia" w:ascii="宋体" w:hAnsi="宋体" w:eastAsia="宋体" w:cs="宋体"/>
          <w:color w:val="000000"/>
          <w:kern w:val="0"/>
          <w:sz w:val="22"/>
          <w:szCs w:val="22"/>
        </w:rPr>
        <w:t>严格按要求组织施工，保质、保量、按期完成施工任务，负责协调解决施工过程中出现的各种事项。</w:t>
      </w:r>
    </w:p>
    <w:p w14:paraId="05140FA6">
      <w:pPr>
        <w:keepNext w:val="0"/>
        <w:keepLines w:val="0"/>
        <w:pageBreakBefore w:val="0"/>
        <w:widowControl/>
        <w:numPr>
          <w:ilvl w:val="0"/>
          <w:numId w:val="1"/>
        </w:numPr>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项目</w:t>
      </w:r>
      <w:r>
        <w:rPr>
          <w:rFonts w:hint="default" w:ascii="宋体" w:hAnsi="宋体" w:eastAsia="宋体" w:cs="宋体"/>
          <w:b/>
          <w:bCs/>
          <w:color w:val="auto"/>
          <w:sz w:val="21"/>
          <w:szCs w:val="21"/>
          <w:lang w:val="en-US" w:eastAsia="zh-CN"/>
        </w:rPr>
        <w:t>经理</w:t>
      </w:r>
      <w:r>
        <w:rPr>
          <w:rFonts w:hint="eastAsia" w:ascii="宋体" w:hAnsi="宋体" w:eastAsia="宋体" w:cs="宋体"/>
          <w:b/>
          <w:bCs/>
          <w:color w:val="auto"/>
          <w:sz w:val="21"/>
          <w:szCs w:val="21"/>
          <w:lang w:val="en-US" w:eastAsia="zh-CN"/>
        </w:rPr>
        <w:t>须具备建筑工程专业二级（含以上级）注册建造师执业资格，具备有效的安全生产考核合格证书（B类），且</w:t>
      </w:r>
      <w:r>
        <w:rPr>
          <w:rFonts w:hint="eastAsia" w:ascii="宋体" w:hAnsi="宋体" w:eastAsia="宋体" w:cs="宋体"/>
          <w:b/>
          <w:bCs/>
          <w:color w:val="auto"/>
          <w:sz w:val="21"/>
          <w:szCs w:val="21"/>
        </w:rPr>
        <w:t>在投标截止时间至中标公示结束期间没有担任在建项目的项目经理或拟参加其他项目的投标活动</w:t>
      </w:r>
      <w:r>
        <w:rPr>
          <w:rFonts w:hint="eastAsia" w:ascii="宋体" w:hAnsi="宋体" w:eastAsia="宋体" w:cs="宋体"/>
          <w:b/>
          <w:bCs/>
          <w:color w:val="auto"/>
          <w:sz w:val="21"/>
          <w:szCs w:val="21"/>
          <w:lang w:val="en-US" w:eastAsia="zh-CN"/>
        </w:rPr>
        <w:t>；</w:t>
      </w:r>
    </w:p>
    <w:p w14:paraId="418DF923">
      <w:pPr>
        <w:keepNext w:val="0"/>
        <w:keepLines w:val="0"/>
        <w:pageBreakBefore w:val="0"/>
        <w:widowControl/>
        <w:numPr>
          <w:ilvl w:val="0"/>
          <w:numId w:val="1"/>
        </w:numPr>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技术负责人须具备</w:t>
      </w:r>
      <w:r>
        <w:rPr>
          <w:rFonts w:hint="eastAsia" w:ascii="宋体" w:hAnsi="宋体" w:eastAsia="宋体" w:cs="宋体"/>
          <w:b/>
          <w:bCs/>
          <w:color w:val="auto"/>
          <w:sz w:val="21"/>
          <w:szCs w:val="21"/>
          <w:highlight w:val="none"/>
        </w:rPr>
        <w:t>二级建造师</w:t>
      </w:r>
      <w:r>
        <w:rPr>
          <w:rFonts w:hint="eastAsia" w:ascii="宋体" w:hAnsi="宋体" w:eastAsia="宋体" w:cs="宋体"/>
          <w:b/>
          <w:bCs/>
          <w:color w:val="auto"/>
          <w:sz w:val="21"/>
          <w:szCs w:val="21"/>
          <w:highlight w:val="none"/>
          <w:lang w:val="en-US" w:eastAsia="zh-CN"/>
        </w:rPr>
        <w:t>以上</w:t>
      </w:r>
      <w:r>
        <w:rPr>
          <w:rFonts w:hint="eastAsia" w:ascii="宋体" w:hAnsi="宋体" w:eastAsia="宋体" w:cs="宋体"/>
          <w:b/>
          <w:bCs/>
          <w:color w:val="auto"/>
          <w:sz w:val="21"/>
          <w:szCs w:val="21"/>
          <w:highlight w:val="none"/>
        </w:rPr>
        <w:t>执业资格证书</w:t>
      </w:r>
      <w:r>
        <w:rPr>
          <w:rFonts w:hint="eastAsia" w:ascii="宋体" w:hAnsi="宋体" w:eastAsia="宋体" w:cs="宋体"/>
          <w:b/>
          <w:bCs/>
          <w:color w:val="auto"/>
          <w:sz w:val="21"/>
          <w:szCs w:val="21"/>
          <w:highlight w:val="none"/>
          <w:lang w:val="en-US" w:eastAsia="zh-CN"/>
        </w:rPr>
        <w:t>；</w:t>
      </w:r>
    </w:p>
    <w:p w14:paraId="47F52F75">
      <w:pPr>
        <w:keepNext w:val="0"/>
        <w:keepLines w:val="0"/>
        <w:pageBreakBefore w:val="0"/>
        <w:widowControl/>
        <w:numPr>
          <w:ilvl w:val="0"/>
          <w:numId w:val="1"/>
        </w:numPr>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拟安排团队人员中须具备中华人民共和国特种作业操作证（作业类别：电工作业）、中华人民共和国特种作业操作证（作业类别：</w:t>
      </w:r>
      <w:r>
        <w:rPr>
          <w:rFonts w:hint="eastAsia" w:ascii="宋体" w:hAnsi="宋体" w:eastAsia="宋体" w:cs="宋体"/>
          <w:b/>
          <w:bCs/>
          <w:color w:val="auto"/>
          <w:sz w:val="21"/>
          <w:szCs w:val="21"/>
          <w:highlight w:val="none"/>
          <w:lang w:val="en-US" w:eastAsia="zh-CN"/>
        </w:rPr>
        <w:t>高空作业</w:t>
      </w:r>
      <w:r>
        <w:rPr>
          <w:rFonts w:hint="eastAsia" w:ascii="宋体" w:hAnsi="宋体" w:eastAsia="宋体" w:cs="宋体"/>
          <w:b/>
          <w:bCs/>
          <w:color w:val="auto"/>
          <w:sz w:val="21"/>
          <w:szCs w:val="21"/>
          <w:highlight w:val="none"/>
        </w:rPr>
        <w:t>）、中华人民共和国特种作业操作证（作业类别：</w:t>
      </w:r>
      <w:r>
        <w:rPr>
          <w:rFonts w:hint="eastAsia" w:ascii="宋体" w:hAnsi="宋体" w:eastAsia="宋体" w:cs="宋体"/>
          <w:b/>
          <w:bCs/>
          <w:color w:val="auto"/>
          <w:sz w:val="21"/>
          <w:szCs w:val="21"/>
          <w:highlight w:val="none"/>
          <w:lang w:val="en-US" w:eastAsia="zh-CN"/>
        </w:rPr>
        <w:t>焊接与热切割作业</w:t>
      </w:r>
      <w:r>
        <w:rPr>
          <w:rFonts w:hint="eastAsia" w:ascii="宋体" w:hAnsi="宋体" w:eastAsia="宋体" w:cs="宋体"/>
          <w:b/>
          <w:bCs/>
          <w:color w:val="auto"/>
          <w:sz w:val="21"/>
          <w:szCs w:val="21"/>
          <w:highlight w:val="none"/>
        </w:rPr>
        <w:t>）的专业人员</w:t>
      </w:r>
      <w:r>
        <w:rPr>
          <w:rFonts w:hint="eastAsia" w:ascii="宋体" w:hAnsi="宋体" w:eastAsia="宋体" w:cs="宋体"/>
          <w:b/>
          <w:bCs/>
          <w:color w:val="auto"/>
          <w:sz w:val="21"/>
          <w:szCs w:val="21"/>
          <w:highlight w:val="none"/>
          <w:lang w:val="en-US" w:eastAsia="zh-CN"/>
        </w:rPr>
        <w:t>；</w:t>
      </w:r>
    </w:p>
    <w:p w14:paraId="524220E8">
      <w:pPr>
        <w:keepNext w:val="0"/>
        <w:keepLines w:val="0"/>
        <w:pageBreakBefore w:val="0"/>
        <w:widowControl/>
        <w:numPr>
          <w:ilvl w:val="0"/>
          <w:numId w:val="1"/>
        </w:numPr>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rPr>
        <w:t>投标人需指派1名固定工程造价人员与采购人对接（投标文件中</w:t>
      </w:r>
      <w:r>
        <w:rPr>
          <w:rFonts w:hint="eastAsia" w:ascii="宋体" w:hAnsi="宋体" w:eastAsia="宋体" w:cs="宋体"/>
          <w:b/>
          <w:bCs/>
          <w:color w:val="auto"/>
          <w:kern w:val="2"/>
          <w:sz w:val="21"/>
          <w:szCs w:val="21"/>
          <w:highlight w:val="none"/>
          <w:lang w:val="en-US" w:eastAsia="zh-CN"/>
        </w:rPr>
        <w:t>须</w:t>
      </w:r>
      <w:r>
        <w:rPr>
          <w:rFonts w:hint="eastAsia" w:ascii="宋体" w:hAnsi="宋体" w:eastAsia="宋体" w:cs="宋体"/>
          <w:b/>
          <w:bCs/>
          <w:color w:val="auto"/>
          <w:kern w:val="2"/>
          <w:sz w:val="21"/>
          <w:szCs w:val="21"/>
          <w:highlight w:val="none"/>
        </w:rPr>
        <w:t>提供上述人员的注册造价工程师资格证</w:t>
      </w:r>
      <w:r>
        <w:rPr>
          <w:rFonts w:hint="eastAsia" w:ascii="宋体" w:hAnsi="宋体" w:eastAsia="宋体" w:cs="宋体"/>
          <w:b/>
          <w:bCs/>
          <w:color w:val="auto"/>
          <w:sz w:val="21"/>
          <w:szCs w:val="21"/>
          <w:highlight w:val="none"/>
        </w:rPr>
        <w:t>复印件</w:t>
      </w:r>
      <w:r>
        <w:rPr>
          <w:rFonts w:hint="eastAsia" w:ascii="宋体" w:hAnsi="宋体" w:eastAsia="宋体" w:cs="宋体"/>
          <w:b/>
          <w:bCs/>
          <w:color w:val="auto"/>
          <w:kern w:val="2"/>
          <w:sz w:val="21"/>
          <w:szCs w:val="21"/>
          <w:highlight w:val="none"/>
        </w:rPr>
        <w:t>及</w:t>
      </w:r>
      <w:r>
        <w:rPr>
          <w:rFonts w:hint="eastAsia" w:ascii="宋体" w:hAnsi="宋体" w:cs="宋体"/>
          <w:b/>
          <w:bCs/>
          <w:color w:val="auto"/>
          <w:sz w:val="21"/>
          <w:szCs w:val="21"/>
          <w:highlight w:val="none"/>
          <w:lang w:val="en-US" w:eastAsia="zh-CN"/>
        </w:rPr>
        <w:t>要求提供</w:t>
      </w:r>
      <w:r>
        <w:rPr>
          <w:rFonts w:hint="eastAsia" w:ascii="宋体" w:hAnsi="宋体" w:eastAsia="宋体" w:cs="宋体"/>
          <w:b/>
          <w:bCs/>
          <w:color w:val="auto"/>
          <w:sz w:val="21"/>
          <w:szCs w:val="21"/>
          <w:highlight w:val="none"/>
        </w:rPr>
        <w:t>投标人缴纳的近三个月（含开标当月）的任意一个月的社保证明作为本单位员工的证明依据，如供应商成立不足一个月或员工入职不足一个月的，提供情况说明函（格式自拟），无需提供相关人员社保，亦可得分</w:t>
      </w:r>
      <w:r>
        <w:rPr>
          <w:rFonts w:hint="eastAsia" w:ascii="宋体" w:hAnsi="宋体" w:eastAsia="宋体" w:cs="宋体"/>
          <w:b/>
          <w:bCs/>
          <w:color w:val="auto"/>
          <w:kern w:val="2"/>
          <w:sz w:val="21"/>
          <w:szCs w:val="21"/>
          <w:highlight w:val="none"/>
        </w:rPr>
        <w:t>）。</w:t>
      </w:r>
    </w:p>
    <w:p w14:paraId="656048FB">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投标时须提供：1.1</w:t>
      </w:r>
      <w:r>
        <w:rPr>
          <w:rFonts w:hint="eastAsia" w:ascii="宋体" w:hAnsi="宋体" w:eastAsia="宋体" w:cs="宋体"/>
          <w:b/>
          <w:bCs/>
          <w:color w:val="auto"/>
          <w:sz w:val="21"/>
          <w:szCs w:val="21"/>
          <w:highlight w:val="none"/>
        </w:rPr>
        <w:t>上述项目</w:t>
      </w:r>
      <w:r>
        <w:rPr>
          <w:rFonts w:hint="eastAsia" w:ascii="宋体" w:hAnsi="宋体" w:cs="宋体"/>
          <w:b/>
          <w:bCs/>
          <w:color w:val="auto"/>
          <w:sz w:val="21"/>
          <w:szCs w:val="21"/>
          <w:highlight w:val="none"/>
          <w:lang w:val="en-US" w:eastAsia="zh-CN"/>
        </w:rPr>
        <w:t>经理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lang w:val="en-US" w:eastAsia="zh-CN"/>
        </w:rPr>
        <w:t>技术负责人、</w:t>
      </w:r>
      <w:r>
        <w:rPr>
          <w:rFonts w:hint="eastAsia" w:ascii="宋体" w:hAnsi="宋体" w:cs="宋体"/>
          <w:b/>
          <w:bCs/>
          <w:color w:val="auto"/>
          <w:sz w:val="21"/>
          <w:szCs w:val="21"/>
          <w:lang w:val="en-US" w:eastAsia="zh-CN"/>
        </w:rPr>
        <w:t>工程造价人员、</w:t>
      </w:r>
      <w:r>
        <w:rPr>
          <w:rFonts w:hint="eastAsia" w:ascii="宋体" w:hAnsi="宋体" w:eastAsia="宋体" w:cs="宋体"/>
          <w:b/>
          <w:bCs/>
          <w:color w:val="auto"/>
          <w:sz w:val="21"/>
          <w:szCs w:val="21"/>
          <w:lang w:val="en-US" w:eastAsia="zh-CN"/>
        </w:rPr>
        <w:t>团队成员</w:t>
      </w:r>
      <w:r>
        <w:rPr>
          <w:rFonts w:hint="eastAsia" w:ascii="宋体" w:hAnsi="宋体" w:eastAsia="宋体" w:cs="宋体"/>
          <w:b/>
          <w:bCs/>
          <w:color w:val="auto"/>
          <w:sz w:val="21"/>
          <w:szCs w:val="21"/>
          <w:highlight w:val="none"/>
        </w:rPr>
        <w:t>为投标人自有员工</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要求提供</w:t>
      </w:r>
      <w:r>
        <w:rPr>
          <w:rFonts w:hint="eastAsia" w:ascii="宋体" w:hAnsi="宋体" w:eastAsia="宋体" w:cs="宋体"/>
          <w:b/>
          <w:bCs/>
          <w:color w:val="auto"/>
          <w:sz w:val="21"/>
          <w:szCs w:val="21"/>
          <w:highlight w:val="none"/>
        </w:rPr>
        <w:t>投标人缴纳的近三个月（含开标当月）的任意一个月的社保证明作为本单位员工的证明依据，如供应商成立不足一个月或员工入职不足一个月的，提供情况说明函（格式自拟），无需提供相关人员社保，亦可得分；</w:t>
      </w:r>
    </w:p>
    <w:p w14:paraId="02284AE0">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1.2.</w:t>
      </w:r>
      <w:r>
        <w:rPr>
          <w:rFonts w:hint="eastAsia" w:ascii="宋体" w:hAnsi="宋体" w:eastAsia="宋体" w:cs="宋体"/>
          <w:b/>
          <w:bCs/>
          <w:color w:val="auto"/>
          <w:sz w:val="21"/>
          <w:szCs w:val="21"/>
        </w:rPr>
        <w:t>提供</w:t>
      </w:r>
      <w:r>
        <w:rPr>
          <w:rFonts w:hint="eastAsia" w:ascii="宋体" w:hAnsi="宋体" w:eastAsia="宋体" w:cs="宋体"/>
          <w:b/>
          <w:bCs/>
          <w:color w:val="auto"/>
          <w:sz w:val="21"/>
          <w:szCs w:val="21"/>
          <w:lang w:val="en-US" w:eastAsia="zh-CN"/>
        </w:rPr>
        <w:t>项目</w:t>
      </w:r>
      <w:r>
        <w:rPr>
          <w:rFonts w:hint="default" w:ascii="宋体" w:hAnsi="宋体" w:eastAsia="宋体" w:cs="宋体"/>
          <w:b/>
          <w:bCs/>
          <w:color w:val="auto"/>
          <w:sz w:val="21"/>
          <w:szCs w:val="21"/>
          <w:lang w:val="en-US" w:eastAsia="zh-CN"/>
        </w:rPr>
        <w:t>经理</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highlight w:val="none"/>
          <w:lang w:val="en-US" w:eastAsia="zh-CN"/>
        </w:rPr>
        <w:t>技术负责人</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拟安排团队人员</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kern w:val="2"/>
          <w:sz w:val="21"/>
          <w:szCs w:val="21"/>
          <w:highlight w:val="none"/>
        </w:rPr>
        <w:t>工程造价人员</w:t>
      </w:r>
      <w:r>
        <w:rPr>
          <w:rFonts w:hint="eastAsia" w:ascii="宋体" w:hAnsi="宋体" w:eastAsia="宋体" w:cs="宋体"/>
          <w:b/>
          <w:bCs/>
          <w:color w:val="auto"/>
          <w:sz w:val="21"/>
          <w:szCs w:val="21"/>
        </w:rPr>
        <w:t>相关资质证书扫描件</w:t>
      </w:r>
      <w:r>
        <w:rPr>
          <w:rFonts w:hint="eastAsia" w:ascii="宋体" w:hAnsi="宋体" w:eastAsia="宋体" w:cs="宋体"/>
          <w:b/>
          <w:bCs/>
          <w:color w:val="auto"/>
          <w:sz w:val="21"/>
          <w:szCs w:val="21"/>
          <w:lang w:eastAsia="zh-CN"/>
        </w:rPr>
        <w:t>；</w:t>
      </w:r>
    </w:p>
    <w:p w14:paraId="08DB9343">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1.3.提供</w:t>
      </w:r>
      <w:r>
        <w:rPr>
          <w:rFonts w:hint="eastAsia" w:ascii="宋体" w:hAnsi="宋体" w:eastAsia="宋体" w:cs="宋体"/>
          <w:b/>
          <w:bCs/>
          <w:color w:val="auto"/>
          <w:sz w:val="21"/>
          <w:szCs w:val="21"/>
        </w:rPr>
        <w:t>拟派项目</w:t>
      </w:r>
      <w:r>
        <w:rPr>
          <w:rFonts w:hint="default" w:ascii="宋体" w:hAnsi="宋体" w:eastAsia="宋体" w:cs="宋体"/>
          <w:b/>
          <w:bCs/>
          <w:color w:val="auto"/>
          <w:sz w:val="21"/>
          <w:szCs w:val="21"/>
          <w:lang w:val="en-US"/>
        </w:rPr>
        <w:t>经理</w:t>
      </w:r>
      <w:r>
        <w:rPr>
          <w:rFonts w:hint="eastAsia" w:ascii="宋体" w:hAnsi="宋体" w:eastAsia="宋体" w:cs="宋体"/>
          <w:b/>
          <w:bCs/>
          <w:color w:val="auto"/>
          <w:sz w:val="21"/>
          <w:szCs w:val="21"/>
        </w:rPr>
        <w:t>在投标截止时间至中标公示结束期间没有担任在建项目的项目经理或拟参加其他项目的投标活动</w:t>
      </w:r>
      <w:r>
        <w:rPr>
          <w:rFonts w:hint="eastAsia" w:ascii="宋体" w:hAnsi="宋体" w:eastAsia="宋体" w:cs="宋体"/>
          <w:b/>
          <w:bCs/>
          <w:color w:val="auto"/>
          <w:sz w:val="21"/>
          <w:szCs w:val="21"/>
          <w:lang w:val="en-US" w:eastAsia="zh-CN"/>
        </w:rPr>
        <w:t>（格式自拟</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w:t>
      </w:r>
    </w:p>
    <w:p w14:paraId="5314E668">
      <w:pPr>
        <w:adjustRightInd/>
        <w:snapToGrid/>
        <w:spacing w:line="380" w:lineRule="exact"/>
        <w:ind w:firstLine="420" w:firstLineChars="200"/>
        <w:rPr>
          <w:rFonts w:hint="eastAsia" w:ascii="宋体" w:hAnsi="宋体" w:eastAsia="宋体" w:cs="宋体"/>
          <w:color w:val="000000"/>
          <w:kern w:val="0"/>
          <w:sz w:val="22"/>
          <w:szCs w:val="22"/>
        </w:rPr>
      </w:pPr>
      <w:r>
        <w:rPr>
          <w:rFonts w:hint="eastAsia" w:ascii="宋体" w:hAnsi="宋体" w:eastAsia="宋体" w:cs="宋体"/>
          <w:b w:val="0"/>
          <w:bCs w:val="0"/>
          <w:sz w:val="21"/>
          <w:szCs w:val="21"/>
        </w:rPr>
        <w:t>注：根据《住房和城乡建设部办公厅关于全面实行一级建造师电子注册证书的通知》(建办市(2021)40号)、《广东省建设信息中关于启用新版“广东省建设执业资格注册管理信息系统”的通知》，已批准注册的执业资格证书必须登录注册管理系统个人版直接打印电子注册证书，电子证书上面的“有效期”和“使用有效期”均须在有效期内，同时，打印电子证书后应在个人签名处手写本人签名，未在有效期内或者未手写签名或与签名图像笔迹不一致的，该电子证书无效。广东省外二级建造师注册证书电子证书样式无要求手写签名的除外。</w:t>
      </w:r>
    </w:p>
    <w:p w14:paraId="1D2F8911">
      <w:pPr>
        <w:tabs>
          <w:tab w:val="left" w:pos="567"/>
        </w:tabs>
        <w:adjustRightInd w:val="0"/>
        <w:snapToGrid w:val="0"/>
        <w:spacing w:line="240" w:lineRule="auto"/>
        <w:ind w:firstLine="440" w:firstLineChars="200"/>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2.</w:t>
      </w:r>
      <w:r>
        <w:rPr>
          <w:rFonts w:hint="eastAsia" w:ascii="宋体" w:hAnsi="宋体" w:eastAsia="宋体" w:cs="宋体"/>
          <w:sz w:val="22"/>
          <w:szCs w:val="22"/>
        </w:rPr>
        <w:t>项目</w:t>
      </w:r>
      <w:r>
        <w:rPr>
          <w:rFonts w:hint="default" w:ascii="宋体" w:hAnsi="宋体" w:cs="宋体"/>
          <w:sz w:val="22"/>
          <w:szCs w:val="22"/>
          <w:lang w:val="en-US" w:eastAsia="zh-CN"/>
        </w:rPr>
        <w:t>经理</w:t>
      </w:r>
      <w:r>
        <w:rPr>
          <w:rFonts w:hint="eastAsia" w:ascii="宋体" w:hAnsi="宋体" w:eastAsia="宋体" w:cs="宋体"/>
          <w:color w:val="000000"/>
          <w:kern w:val="0"/>
          <w:sz w:val="22"/>
          <w:szCs w:val="22"/>
        </w:rPr>
        <w:t>及工程造价人员属于关键性岗位，要求长期相对固定，如出现缺岗或频繁更换人员，采购人酌情扣罚管理费。</w:t>
      </w:r>
    </w:p>
    <w:p w14:paraId="2D47A70C">
      <w:pPr>
        <w:spacing w:line="240"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（五）项目管理要求：</w:t>
      </w:r>
    </w:p>
    <w:p w14:paraId="3753FE87">
      <w:pPr>
        <w:spacing w:line="24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1.本次中标单位1家；</w:t>
      </w:r>
    </w:p>
    <w:p w14:paraId="63141D3B">
      <w:pPr>
        <w:spacing w:line="24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2.采购人对中标单位实行动态管理。中标单位存在以下情况之一的，采购人有权视情况单方解除合同，取消其本聘用期内的服务资格，同时将其拉入黑名单并拒绝其报名参加下一期招标：</w:t>
      </w:r>
    </w:p>
    <w:p w14:paraId="1FCDE9A3">
      <w:pPr>
        <w:spacing w:line="24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（1）拒不接受采购人安排的项目，或对承接的项目挑三拣四的；</w:t>
      </w:r>
    </w:p>
    <w:p w14:paraId="5840832A">
      <w:pPr>
        <w:spacing w:line="24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（2）是未能履行合同约定义务，不能达到规定服务标准甚至影响项目正常进行的；</w:t>
      </w:r>
    </w:p>
    <w:p w14:paraId="0F3B268A">
      <w:pPr>
        <w:spacing w:line="24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（3）是承接项目期间出现失误，给采购人造成损失的；</w:t>
      </w:r>
    </w:p>
    <w:p w14:paraId="0730A2C1">
      <w:pPr>
        <w:spacing w:line="24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（4）是拒不接受采购人合理指令的。</w:t>
      </w:r>
    </w:p>
    <w:p w14:paraId="7F28DE24">
      <w:pPr>
        <w:rPr>
          <w:rFonts w:hint="eastAsia" w:ascii="宋体" w:hAnsi="宋体" w:eastAsia="宋体" w:cs="宋体"/>
          <w:b/>
          <w:bCs/>
          <w:sz w:val="22"/>
          <w:szCs w:val="22"/>
          <w:highlight w:val="none"/>
          <w:lang w:eastAsia="zh-CN"/>
        </w:rPr>
      </w:pPr>
      <w:r>
        <w:rPr>
          <w:rFonts w:hint="eastAsia" w:ascii="宋体" w:hAnsi="宋体" w:eastAsia="宋体" w:cs="宋体"/>
          <w:sz w:val="22"/>
          <w:szCs w:val="22"/>
          <w:highlight w:val="none"/>
        </w:rPr>
        <w:t>3.当出现以上情况或中标单位主动退出时，按照采购人实际工作需要和招标时的投标单位排名顺序，依次递补</w:t>
      </w:r>
      <w:r>
        <w:rPr>
          <w:rFonts w:hint="eastAsia" w:ascii="宋体" w:hAnsi="宋体" w:eastAsia="宋体" w:cs="宋体"/>
          <w:sz w:val="22"/>
          <w:szCs w:val="22"/>
          <w:highlight w:val="none"/>
          <w:lang w:eastAsia="zh-CN"/>
        </w:rPr>
        <w:t>。</w:t>
      </w:r>
    </w:p>
    <w:p w14:paraId="5693210E">
      <w:pPr>
        <w:pStyle w:val="12"/>
        <w:snapToGrid w:val="0"/>
        <w:ind w:firstLine="0" w:firstLineChars="0"/>
        <w:jc w:val="center"/>
        <w:rPr>
          <w:rFonts w:hint="eastAsia" w:ascii="宋体" w:hAnsi="宋体" w:cs="宋体"/>
          <w:b/>
          <w:kern w:val="0"/>
          <w:szCs w:val="21"/>
        </w:rPr>
      </w:pPr>
      <w:r>
        <w:rPr>
          <w:rFonts w:hint="eastAsia" w:ascii="宋体" w:hAnsi="宋体" w:cs="宋体"/>
          <w:b/>
          <w:kern w:val="0"/>
          <w:szCs w:val="21"/>
        </w:rPr>
        <w:t>附件1：《主要材料参考品牌表》</w:t>
      </w:r>
    </w:p>
    <w:p w14:paraId="69E79F12">
      <w:pPr>
        <w:pStyle w:val="12"/>
        <w:snapToGrid w:val="0"/>
        <w:ind w:firstLine="422"/>
        <w:jc w:val="left"/>
        <w:rPr>
          <w:rFonts w:hint="eastAsia" w:ascii="宋体" w:hAnsi="宋体" w:cs="宋体"/>
          <w:b/>
          <w:color w:val="auto"/>
          <w:kern w:val="0"/>
          <w:szCs w:val="21"/>
        </w:rPr>
      </w:pPr>
      <w:r>
        <w:rPr>
          <w:rFonts w:hint="eastAsia" w:ascii="宋体" w:hAnsi="宋体" w:cs="宋体"/>
          <w:b/>
          <w:color w:val="auto"/>
          <w:kern w:val="0"/>
          <w:szCs w:val="21"/>
        </w:rPr>
        <w:t>说明：招标文件中所涉及产品品牌均为质量“相当于”要求，非指定性要求，投标人可自主选择质量相当的其他品牌产品投标。</w:t>
      </w:r>
    </w:p>
    <w:p w14:paraId="59E4DFE7">
      <w:pPr>
        <w:jc w:val="center"/>
        <w:rPr>
          <w:rFonts w:hint="eastAsia" w:ascii="宋体" w:hAnsi="宋体" w:cs="宋体"/>
          <w:b/>
          <w:sz w:val="22"/>
          <w:szCs w:val="22"/>
        </w:rPr>
      </w:pPr>
      <w:r>
        <w:rPr>
          <w:rFonts w:hint="eastAsia" w:ascii="宋体" w:hAnsi="宋体" w:cs="宋体"/>
          <w:b/>
          <w:sz w:val="22"/>
          <w:szCs w:val="22"/>
        </w:rPr>
        <w:t>装饰材料设备参考品牌库</w:t>
      </w:r>
    </w:p>
    <w:tbl>
      <w:tblPr>
        <w:tblStyle w:val="9"/>
        <w:tblpPr w:leftFromText="180" w:rightFromText="180" w:vertAnchor="text" w:tblpXSpec="center" w:tblpY="1"/>
        <w:tblOverlap w:val="never"/>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127"/>
        <w:gridCol w:w="5720"/>
      </w:tblGrid>
      <w:tr w14:paraId="3F1E7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noWrap w:val="0"/>
            <w:vAlign w:val="center"/>
          </w:tcPr>
          <w:p w14:paraId="033FC052">
            <w:pPr>
              <w:spacing w:line="400" w:lineRule="exact"/>
              <w:jc w:val="center"/>
              <w:rPr>
                <w:rFonts w:hint="eastAsia" w:ascii="宋体" w:hAnsi="宋体" w:cs="宋体"/>
                <w:b/>
                <w:sz w:val="22"/>
                <w:szCs w:val="22"/>
              </w:rPr>
            </w:pPr>
            <w:r>
              <w:rPr>
                <w:rFonts w:hint="eastAsia" w:ascii="宋体" w:hAnsi="宋体" w:cs="宋体"/>
                <w:b/>
                <w:sz w:val="22"/>
                <w:szCs w:val="22"/>
              </w:rPr>
              <w:t>编号</w:t>
            </w:r>
          </w:p>
        </w:tc>
        <w:tc>
          <w:tcPr>
            <w:tcW w:w="2127" w:type="dxa"/>
            <w:noWrap w:val="0"/>
            <w:vAlign w:val="center"/>
          </w:tcPr>
          <w:p w14:paraId="4910E38A">
            <w:pPr>
              <w:spacing w:line="400" w:lineRule="exact"/>
              <w:jc w:val="center"/>
              <w:rPr>
                <w:rFonts w:hint="eastAsia" w:ascii="宋体" w:hAnsi="宋体" w:cs="宋体"/>
                <w:b/>
                <w:sz w:val="22"/>
                <w:szCs w:val="22"/>
              </w:rPr>
            </w:pPr>
            <w:r>
              <w:rPr>
                <w:rFonts w:hint="eastAsia" w:ascii="宋体" w:hAnsi="宋体" w:cs="宋体"/>
                <w:b/>
                <w:sz w:val="22"/>
                <w:szCs w:val="22"/>
              </w:rPr>
              <w:t>材料品种</w:t>
            </w:r>
          </w:p>
        </w:tc>
        <w:tc>
          <w:tcPr>
            <w:tcW w:w="5720" w:type="dxa"/>
            <w:noWrap w:val="0"/>
            <w:vAlign w:val="center"/>
          </w:tcPr>
          <w:p w14:paraId="369775B2">
            <w:pPr>
              <w:spacing w:line="400" w:lineRule="exact"/>
              <w:jc w:val="center"/>
              <w:rPr>
                <w:rFonts w:hint="eastAsia" w:ascii="宋体" w:hAnsi="宋体" w:cs="宋体"/>
                <w:b/>
                <w:sz w:val="22"/>
                <w:szCs w:val="22"/>
              </w:rPr>
            </w:pPr>
            <w:r>
              <w:rPr>
                <w:rFonts w:hint="eastAsia" w:ascii="宋体" w:hAnsi="宋体" w:cs="宋体"/>
                <w:b/>
                <w:sz w:val="22"/>
                <w:szCs w:val="22"/>
              </w:rPr>
              <w:t>参考品牌</w:t>
            </w:r>
          </w:p>
        </w:tc>
      </w:tr>
      <w:tr w14:paraId="5E0FF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5F4B248A">
            <w:pPr>
              <w:spacing w:line="400" w:lineRule="exact"/>
              <w:jc w:val="center"/>
              <w:rPr>
                <w:rFonts w:hint="eastAsia" w:ascii="宋体" w:hAnsi="宋体" w:cs="宋体"/>
                <w:sz w:val="22"/>
                <w:szCs w:val="22"/>
              </w:rPr>
            </w:pPr>
            <w:r>
              <w:rPr>
                <w:rFonts w:hint="eastAsia" w:ascii="宋体" w:hAnsi="宋体" w:cs="宋体"/>
                <w:sz w:val="22"/>
                <w:szCs w:val="22"/>
              </w:rPr>
              <w:t>1</w:t>
            </w:r>
          </w:p>
        </w:tc>
        <w:tc>
          <w:tcPr>
            <w:tcW w:w="2127" w:type="dxa"/>
            <w:noWrap w:val="0"/>
            <w:vAlign w:val="center"/>
          </w:tcPr>
          <w:p w14:paraId="46CDA424">
            <w:pPr>
              <w:spacing w:line="400" w:lineRule="exact"/>
              <w:jc w:val="center"/>
              <w:rPr>
                <w:rFonts w:hint="eastAsia" w:ascii="宋体" w:hAnsi="宋体" w:cs="宋体"/>
                <w:sz w:val="22"/>
                <w:szCs w:val="22"/>
              </w:rPr>
            </w:pPr>
            <w:r>
              <w:rPr>
                <w:rFonts w:hint="eastAsia" w:ascii="宋体" w:hAnsi="宋体" w:cs="宋体"/>
                <w:sz w:val="22"/>
                <w:szCs w:val="22"/>
              </w:rPr>
              <w:t>水泥</w:t>
            </w:r>
          </w:p>
        </w:tc>
        <w:tc>
          <w:tcPr>
            <w:tcW w:w="5720" w:type="dxa"/>
            <w:noWrap w:val="0"/>
            <w:vAlign w:val="center"/>
          </w:tcPr>
          <w:p w14:paraId="20868ACE">
            <w:pPr>
              <w:spacing w:line="400" w:lineRule="exact"/>
              <w:jc w:val="center"/>
              <w:rPr>
                <w:rFonts w:hint="eastAsia" w:ascii="宋体" w:hAnsi="宋体" w:cs="宋体"/>
                <w:sz w:val="22"/>
                <w:szCs w:val="22"/>
              </w:rPr>
            </w:pPr>
            <w:r>
              <w:rPr>
                <w:rFonts w:hint="eastAsia" w:ascii="宋体" w:hAnsi="宋体" w:cs="宋体"/>
                <w:sz w:val="22"/>
                <w:szCs w:val="22"/>
              </w:rPr>
              <w:t>海螺、南方水泥、润丰</w:t>
            </w:r>
          </w:p>
        </w:tc>
      </w:tr>
      <w:tr w14:paraId="5877E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368C4296">
            <w:pPr>
              <w:spacing w:line="400" w:lineRule="exact"/>
              <w:jc w:val="center"/>
              <w:rPr>
                <w:rFonts w:hint="eastAsia" w:ascii="宋体" w:hAnsi="宋体" w:cs="宋体"/>
                <w:sz w:val="22"/>
                <w:szCs w:val="22"/>
              </w:rPr>
            </w:pPr>
            <w:r>
              <w:rPr>
                <w:rFonts w:hint="eastAsia" w:ascii="宋体" w:hAnsi="宋体" w:cs="宋体"/>
                <w:sz w:val="22"/>
                <w:szCs w:val="22"/>
              </w:rPr>
              <w:t>2</w:t>
            </w:r>
          </w:p>
        </w:tc>
        <w:tc>
          <w:tcPr>
            <w:tcW w:w="2127" w:type="dxa"/>
            <w:noWrap w:val="0"/>
            <w:vAlign w:val="center"/>
          </w:tcPr>
          <w:p w14:paraId="3AC9F285">
            <w:pPr>
              <w:adjustRightInd w:val="0"/>
              <w:snapToGrid w:val="0"/>
              <w:jc w:val="center"/>
              <w:rPr>
                <w:rFonts w:hint="eastAsia" w:ascii="宋体" w:hAnsi="宋体" w:cs="宋体"/>
                <w:sz w:val="22"/>
                <w:szCs w:val="22"/>
              </w:rPr>
            </w:pPr>
            <w:r>
              <w:rPr>
                <w:rFonts w:hint="eastAsia" w:ascii="宋体" w:hAnsi="宋体" w:cs="宋体"/>
                <w:sz w:val="22"/>
                <w:szCs w:val="22"/>
              </w:rPr>
              <w:t>地弹簧</w:t>
            </w:r>
          </w:p>
        </w:tc>
        <w:tc>
          <w:tcPr>
            <w:tcW w:w="5720" w:type="dxa"/>
            <w:noWrap w:val="0"/>
            <w:vAlign w:val="center"/>
          </w:tcPr>
          <w:p w14:paraId="2307FFAD">
            <w:pPr>
              <w:adjustRightInd w:val="0"/>
              <w:snapToGrid w:val="0"/>
              <w:jc w:val="center"/>
              <w:rPr>
                <w:rFonts w:hint="eastAsia" w:ascii="宋体" w:hAnsi="宋体" w:cs="宋体"/>
                <w:sz w:val="22"/>
                <w:szCs w:val="22"/>
              </w:rPr>
            </w:pPr>
            <w:r>
              <w:rPr>
                <w:rFonts w:hint="eastAsia" w:ascii="宋体" w:hAnsi="宋体" w:cs="宋体"/>
                <w:sz w:val="22"/>
                <w:szCs w:val="22"/>
              </w:rPr>
              <w:t>盖泽、亚萨合莱、茵科、史丹利</w:t>
            </w:r>
          </w:p>
        </w:tc>
      </w:tr>
      <w:tr w14:paraId="40B70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1478C2E7">
            <w:pPr>
              <w:spacing w:line="400" w:lineRule="exact"/>
              <w:jc w:val="center"/>
              <w:rPr>
                <w:rFonts w:hint="eastAsia" w:ascii="宋体" w:hAnsi="宋体" w:cs="宋体"/>
                <w:sz w:val="22"/>
                <w:szCs w:val="22"/>
              </w:rPr>
            </w:pPr>
            <w:r>
              <w:rPr>
                <w:rFonts w:hint="eastAsia" w:ascii="宋体" w:hAnsi="宋体" w:cs="宋体"/>
                <w:sz w:val="22"/>
                <w:szCs w:val="22"/>
              </w:rPr>
              <w:t>3</w:t>
            </w:r>
          </w:p>
        </w:tc>
        <w:tc>
          <w:tcPr>
            <w:tcW w:w="2127" w:type="dxa"/>
            <w:noWrap w:val="0"/>
            <w:vAlign w:val="center"/>
          </w:tcPr>
          <w:p w14:paraId="4FA2A91D">
            <w:pPr>
              <w:adjustRightInd w:val="0"/>
              <w:snapToGrid w:val="0"/>
              <w:jc w:val="center"/>
              <w:rPr>
                <w:rFonts w:hint="eastAsia" w:ascii="宋体" w:hAnsi="宋体" w:cs="宋体"/>
                <w:sz w:val="22"/>
                <w:szCs w:val="22"/>
              </w:rPr>
            </w:pPr>
            <w:r>
              <w:rPr>
                <w:rFonts w:hint="eastAsia" w:ascii="宋体" w:hAnsi="宋体" w:cs="宋体"/>
                <w:sz w:val="22"/>
                <w:szCs w:val="22"/>
              </w:rPr>
              <w:t>闭门器</w:t>
            </w:r>
          </w:p>
        </w:tc>
        <w:tc>
          <w:tcPr>
            <w:tcW w:w="5720" w:type="dxa"/>
            <w:noWrap w:val="0"/>
            <w:vAlign w:val="center"/>
          </w:tcPr>
          <w:p w14:paraId="1A6C834F">
            <w:pPr>
              <w:adjustRightInd w:val="0"/>
              <w:snapToGrid w:val="0"/>
              <w:jc w:val="center"/>
              <w:rPr>
                <w:rFonts w:hint="eastAsia" w:ascii="宋体" w:hAnsi="宋体" w:cs="宋体"/>
                <w:sz w:val="22"/>
                <w:szCs w:val="22"/>
              </w:rPr>
            </w:pPr>
            <w:r>
              <w:rPr>
                <w:rFonts w:hint="eastAsia" w:ascii="宋体" w:hAnsi="宋体" w:cs="宋体"/>
                <w:sz w:val="22"/>
                <w:szCs w:val="22"/>
              </w:rPr>
              <w:t>盖泽、亚萨合莱、茵科、史丹利、英格索兰、欧太力</w:t>
            </w:r>
          </w:p>
        </w:tc>
      </w:tr>
      <w:tr w14:paraId="11C31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7E8140BB">
            <w:pPr>
              <w:spacing w:line="400" w:lineRule="exact"/>
              <w:jc w:val="center"/>
              <w:rPr>
                <w:rFonts w:hint="eastAsia" w:ascii="宋体" w:hAnsi="宋体" w:cs="宋体"/>
                <w:sz w:val="22"/>
                <w:szCs w:val="22"/>
              </w:rPr>
            </w:pPr>
            <w:r>
              <w:rPr>
                <w:rFonts w:hint="eastAsia" w:ascii="宋体" w:hAnsi="宋体" w:cs="宋体"/>
                <w:sz w:val="22"/>
                <w:szCs w:val="22"/>
              </w:rPr>
              <w:t>4</w:t>
            </w:r>
          </w:p>
        </w:tc>
        <w:tc>
          <w:tcPr>
            <w:tcW w:w="2127" w:type="dxa"/>
            <w:noWrap w:val="0"/>
            <w:vAlign w:val="center"/>
          </w:tcPr>
          <w:p w14:paraId="0F44A01C">
            <w:pPr>
              <w:jc w:val="center"/>
              <w:rPr>
                <w:rFonts w:hint="eastAsia" w:ascii="宋体" w:hAnsi="宋体" w:cs="宋体"/>
                <w:sz w:val="22"/>
                <w:szCs w:val="22"/>
              </w:rPr>
            </w:pPr>
            <w:r>
              <w:rPr>
                <w:rFonts w:hint="eastAsia" w:ascii="宋体" w:hAnsi="宋体" w:cs="宋体"/>
                <w:sz w:val="22"/>
                <w:szCs w:val="22"/>
              </w:rPr>
              <w:t>门锁五金</w:t>
            </w:r>
          </w:p>
        </w:tc>
        <w:tc>
          <w:tcPr>
            <w:tcW w:w="5720" w:type="dxa"/>
            <w:noWrap w:val="0"/>
            <w:vAlign w:val="center"/>
          </w:tcPr>
          <w:p w14:paraId="62E4069B">
            <w:pPr>
              <w:jc w:val="center"/>
              <w:rPr>
                <w:rFonts w:hint="eastAsia" w:ascii="宋体" w:hAnsi="宋体" w:cs="宋体"/>
                <w:sz w:val="22"/>
                <w:szCs w:val="22"/>
              </w:rPr>
            </w:pPr>
            <w:r>
              <w:rPr>
                <w:rFonts w:hint="eastAsia" w:ascii="宋体" w:hAnsi="宋体" w:cs="宋体"/>
                <w:sz w:val="22"/>
                <w:szCs w:val="22"/>
              </w:rPr>
              <w:t>亚萨合莱、茵科、史丹利、英格索兰</w:t>
            </w:r>
          </w:p>
        </w:tc>
      </w:tr>
      <w:tr w14:paraId="09B86DD0">
        <w:tblPrEx>
          <w:tblCellMar>
            <w:top w:w="0" w:type="dxa"/>
            <w:left w:w="108" w:type="dxa"/>
            <w:bottom w:w="0" w:type="dxa"/>
            <w:right w:w="108" w:type="dxa"/>
          </w:tblCellMar>
        </w:tblPrEx>
        <w:trPr>
          <w:trHeight w:val="170" w:hRule="atLeast"/>
          <w:jc w:val="center"/>
        </w:trPr>
        <w:tc>
          <w:tcPr>
            <w:tcW w:w="675" w:type="dxa"/>
            <w:noWrap w:val="0"/>
            <w:vAlign w:val="center"/>
          </w:tcPr>
          <w:p w14:paraId="0FB0E10A">
            <w:pPr>
              <w:spacing w:line="400" w:lineRule="exact"/>
              <w:jc w:val="center"/>
              <w:rPr>
                <w:rFonts w:hint="eastAsia" w:ascii="宋体" w:hAnsi="宋体" w:cs="宋体"/>
                <w:sz w:val="22"/>
                <w:szCs w:val="22"/>
              </w:rPr>
            </w:pPr>
            <w:r>
              <w:rPr>
                <w:rFonts w:hint="eastAsia" w:ascii="宋体" w:hAnsi="宋体" w:cs="宋体"/>
                <w:sz w:val="22"/>
                <w:szCs w:val="22"/>
              </w:rPr>
              <w:t>5</w:t>
            </w:r>
          </w:p>
        </w:tc>
        <w:tc>
          <w:tcPr>
            <w:tcW w:w="2127" w:type="dxa"/>
            <w:noWrap w:val="0"/>
            <w:vAlign w:val="center"/>
          </w:tcPr>
          <w:p w14:paraId="1E478721">
            <w:pPr>
              <w:adjustRightInd w:val="0"/>
              <w:snapToGrid w:val="0"/>
              <w:jc w:val="center"/>
              <w:rPr>
                <w:rFonts w:hint="eastAsia" w:ascii="宋体" w:hAnsi="宋体" w:cs="宋体"/>
                <w:sz w:val="22"/>
                <w:szCs w:val="22"/>
              </w:rPr>
            </w:pPr>
            <w:r>
              <w:rPr>
                <w:rFonts w:hint="eastAsia" w:ascii="宋体" w:hAnsi="宋体" w:cs="宋体"/>
                <w:sz w:val="22"/>
                <w:szCs w:val="22"/>
              </w:rPr>
              <w:t>硅钙板天花</w:t>
            </w:r>
          </w:p>
        </w:tc>
        <w:tc>
          <w:tcPr>
            <w:tcW w:w="5720" w:type="dxa"/>
            <w:noWrap w:val="0"/>
            <w:vAlign w:val="center"/>
          </w:tcPr>
          <w:p w14:paraId="5044FC14">
            <w:pPr>
              <w:adjustRightInd w:val="0"/>
              <w:snapToGrid w:val="0"/>
              <w:jc w:val="center"/>
              <w:rPr>
                <w:rFonts w:hint="eastAsia" w:ascii="宋体" w:hAnsi="宋体" w:cs="宋体"/>
                <w:sz w:val="22"/>
                <w:szCs w:val="22"/>
              </w:rPr>
            </w:pPr>
            <w:r>
              <w:rPr>
                <w:rFonts w:hint="eastAsia" w:ascii="宋体" w:hAnsi="宋体" w:cs="宋体"/>
                <w:sz w:val="22"/>
                <w:szCs w:val="22"/>
              </w:rPr>
              <w:t>美穗、云中龙、绿意雅、格林森</w:t>
            </w:r>
          </w:p>
        </w:tc>
      </w:tr>
      <w:tr w14:paraId="77DCE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02E5D0F7">
            <w:pPr>
              <w:spacing w:line="400" w:lineRule="exact"/>
              <w:jc w:val="center"/>
              <w:rPr>
                <w:rFonts w:hint="eastAsia" w:ascii="宋体" w:hAnsi="宋体" w:cs="宋体"/>
                <w:sz w:val="22"/>
                <w:szCs w:val="22"/>
              </w:rPr>
            </w:pPr>
            <w:r>
              <w:rPr>
                <w:rFonts w:hint="eastAsia" w:ascii="宋体" w:hAnsi="宋体" w:cs="宋体"/>
                <w:sz w:val="22"/>
                <w:szCs w:val="22"/>
              </w:rPr>
              <w:t>6</w:t>
            </w:r>
          </w:p>
        </w:tc>
        <w:tc>
          <w:tcPr>
            <w:tcW w:w="2127" w:type="dxa"/>
            <w:noWrap w:val="0"/>
            <w:vAlign w:val="center"/>
          </w:tcPr>
          <w:p w14:paraId="70B42291">
            <w:pPr>
              <w:adjustRightInd w:val="0"/>
              <w:snapToGrid w:val="0"/>
              <w:jc w:val="center"/>
              <w:rPr>
                <w:rFonts w:hint="eastAsia" w:ascii="宋体" w:hAnsi="宋体" w:cs="宋体"/>
                <w:sz w:val="22"/>
                <w:szCs w:val="22"/>
              </w:rPr>
            </w:pPr>
            <w:r>
              <w:rPr>
                <w:rFonts w:hint="eastAsia" w:ascii="宋体" w:hAnsi="宋体" w:cs="宋体"/>
                <w:sz w:val="22"/>
                <w:szCs w:val="22"/>
              </w:rPr>
              <w:t>石膏板</w:t>
            </w:r>
          </w:p>
        </w:tc>
        <w:tc>
          <w:tcPr>
            <w:tcW w:w="5720" w:type="dxa"/>
            <w:noWrap w:val="0"/>
            <w:vAlign w:val="center"/>
          </w:tcPr>
          <w:p w14:paraId="405DAF8A">
            <w:pPr>
              <w:adjustRightInd w:val="0"/>
              <w:snapToGrid w:val="0"/>
              <w:jc w:val="center"/>
              <w:rPr>
                <w:rFonts w:hint="eastAsia" w:ascii="宋体" w:hAnsi="宋体" w:cs="宋体"/>
                <w:sz w:val="22"/>
                <w:szCs w:val="22"/>
              </w:rPr>
            </w:pPr>
            <w:r>
              <w:rPr>
                <w:rFonts w:hint="eastAsia" w:ascii="宋体" w:hAnsi="宋体" w:cs="宋体"/>
                <w:sz w:val="22"/>
                <w:szCs w:val="22"/>
              </w:rPr>
              <w:t>杰森、可耐福、北新龙牌</w:t>
            </w:r>
          </w:p>
        </w:tc>
      </w:tr>
      <w:tr w14:paraId="53DC3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123FE58A">
            <w:pPr>
              <w:spacing w:line="400" w:lineRule="exact"/>
              <w:jc w:val="center"/>
              <w:rPr>
                <w:rFonts w:hint="eastAsia" w:ascii="宋体" w:hAnsi="宋体" w:cs="宋体"/>
                <w:sz w:val="22"/>
                <w:szCs w:val="22"/>
              </w:rPr>
            </w:pPr>
            <w:r>
              <w:rPr>
                <w:rFonts w:hint="eastAsia" w:ascii="宋体" w:hAnsi="宋体" w:cs="宋体"/>
                <w:sz w:val="22"/>
                <w:szCs w:val="22"/>
              </w:rPr>
              <w:t>7</w:t>
            </w:r>
          </w:p>
        </w:tc>
        <w:tc>
          <w:tcPr>
            <w:tcW w:w="2127" w:type="dxa"/>
            <w:noWrap w:val="0"/>
            <w:vAlign w:val="center"/>
          </w:tcPr>
          <w:p w14:paraId="698FAA4B">
            <w:pPr>
              <w:adjustRightInd w:val="0"/>
              <w:snapToGrid w:val="0"/>
              <w:jc w:val="center"/>
              <w:rPr>
                <w:rFonts w:hint="eastAsia" w:ascii="宋体" w:hAnsi="宋体" w:cs="宋体"/>
                <w:sz w:val="22"/>
                <w:szCs w:val="22"/>
              </w:rPr>
            </w:pPr>
            <w:r>
              <w:rPr>
                <w:rFonts w:hint="eastAsia" w:ascii="宋体" w:hAnsi="宋体" w:cs="宋体"/>
                <w:sz w:val="22"/>
                <w:szCs w:val="22"/>
              </w:rPr>
              <w:t>橡胶地板（均质卷材）</w:t>
            </w:r>
          </w:p>
        </w:tc>
        <w:tc>
          <w:tcPr>
            <w:tcW w:w="5720" w:type="dxa"/>
            <w:noWrap w:val="0"/>
            <w:vAlign w:val="center"/>
          </w:tcPr>
          <w:p w14:paraId="29484270">
            <w:pPr>
              <w:jc w:val="center"/>
              <w:rPr>
                <w:rFonts w:hint="eastAsia" w:ascii="宋体" w:hAnsi="宋体" w:cs="宋体"/>
                <w:sz w:val="22"/>
                <w:szCs w:val="22"/>
              </w:rPr>
            </w:pPr>
            <w:r>
              <w:rPr>
                <w:rFonts w:hint="eastAsia" w:ascii="宋体" w:hAnsi="宋体" w:cs="宋体"/>
                <w:sz w:val="22"/>
                <w:szCs w:val="22"/>
              </w:rPr>
              <w:t>盟多、意大利雅迪Artigoo、秦力、高科</w:t>
            </w:r>
          </w:p>
        </w:tc>
      </w:tr>
      <w:tr w14:paraId="0BF90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4B79F08C">
            <w:pPr>
              <w:spacing w:line="400" w:lineRule="exact"/>
              <w:jc w:val="center"/>
              <w:rPr>
                <w:rFonts w:hint="eastAsia" w:ascii="宋体" w:hAnsi="宋体" w:cs="宋体"/>
                <w:sz w:val="22"/>
                <w:szCs w:val="22"/>
              </w:rPr>
            </w:pPr>
            <w:r>
              <w:rPr>
                <w:rFonts w:hint="eastAsia" w:ascii="宋体" w:hAnsi="宋体" w:cs="宋体"/>
                <w:sz w:val="22"/>
                <w:szCs w:val="22"/>
              </w:rPr>
              <w:t>8</w:t>
            </w:r>
          </w:p>
        </w:tc>
        <w:tc>
          <w:tcPr>
            <w:tcW w:w="2127" w:type="dxa"/>
            <w:noWrap w:val="0"/>
            <w:vAlign w:val="center"/>
          </w:tcPr>
          <w:p w14:paraId="33F94800">
            <w:pPr>
              <w:adjustRightInd w:val="0"/>
              <w:snapToGrid w:val="0"/>
              <w:jc w:val="center"/>
              <w:rPr>
                <w:rFonts w:hint="eastAsia" w:ascii="宋体" w:hAnsi="宋体" w:cs="宋体"/>
                <w:sz w:val="22"/>
                <w:szCs w:val="22"/>
              </w:rPr>
            </w:pPr>
            <w:r>
              <w:rPr>
                <w:rFonts w:hint="eastAsia" w:ascii="宋体" w:hAnsi="宋体" w:cs="宋体"/>
                <w:sz w:val="22"/>
                <w:szCs w:val="22"/>
              </w:rPr>
              <w:t>Low-E玻璃</w:t>
            </w:r>
          </w:p>
        </w:tc>
        <w:tc>
          <w:tcPr>
            <w:tcW w:w="5720" w:type="dxa"/>
            <w:noWrap w:val="0"/>
            <w:vAlign w:val="center"/>
          </w:tcPr>
          <w:p w14:paraId="7908F39D">
            <w:pPr>
              <w:jc w:val="center"/>
              <w:rPr>
                <w:rFonts w:hint="eastAsia" w:ascii="宋体" w:hAnsi="宋体" w:cs="宋体"/>
                <w:sz w:val="22"/>
                <w:szCs w:val="22"/>
              </w:rPr>
            </w:pPr>
            <w:r>
              <w:rPr>
                <w:rFonts w:hint="eastAsia" w:ascii="宋体" w:hAnsi="宋体" w:cs="宋体"/>
                <w:sz w:val="22"/>
                <w:szCs w:val="22"/>
              </w:rPr>
              <w:t>信义、南玻、中航特玻</w:t>
            </w:r>
          </w:p>
        </w:tc>
      </w:tr>
      <w:tr w14:paraId="2731F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79F82C80">
            <w:pPr>
              <w:spacing w:line="400" w:lineRule="exact"/>
              <w:jc w:val="center"/>
              <w:rPr>
                <w:rFonts w:hint="eastAsia" w:ascii="宋体" w:hAnsi="宋体" w:cs="宋体"/>
                <w:sz w:val="22"/>
                <w:szCs w:val="22"/>
              </w:rPr>
            </w:pPr>
            <w:r>
              <w:rPr>
                <w:rFonts w:hint="eastAsia" w:ascii="宋体" w:hAnsi="宋体" w:cs="宋体"/>
                <w:sz w:val="22"/>
                <w:szCs w:val="22"/>
              </w:rPr>
              <w:t>9</w:t>
            </w:r>
          </w:p>
        </w:tc>
        <w:tc>
          <w:tcPr>
            <w:tcW w:w="2127" w:type="dxa"/>
            <w:noWrap w:val="0"/>
            <w:vAlign w:val="center"/>
          </w:tcPr>
          <w:p w14:paraId="08748D10">
            <w:pPr>
              <w:spacing w:line="400" w:lineRule="exact"/>
              <w:jc w:val="center"/>
              <w:rPr>
                <w:rFonts w:hint="eastAsia" w:ascii="宋体" w:hAnsi="宋体" w:cs="宋体"/>
                <w:sz w:val="22"/>
                <w:szCs w:val="22"/>
              </w:rPr>
            </w:pPr>
            <w:r>
              <w:rPr>
                <w:rFonts w:hint="eastAsia" w:ascii="宋体" w:hAnsi="宋体" w:cs="宋体"/>
                <w:sz w:val="22"/>
                <w:szCs w:val="22"/>
              </w:rPr>
              <w:t>内墙涂料</w:t>
            </w:r>
          </w:p>
        </w:tc>
        <w:tc>
          <w:tcPr>
            <w:tcW w:w="5720" w:type="dxa"/>
            <w:noWrap w:val="0"/>
            <w:vAlign w:val="center"/>
          </w:tcPr>
          <w:p w14:paraId="5E6E38C2">
            <w:pPr>
              <w:jc w:val="center"/>
              <w:rPr>
                <w:rFonts w:ascii="宋体" w:hAnsi="宋体" w:cs="宋体"/>
                <w:b/>
                <w:sz w:val="22"/>
                <w:szCs w:val="22"/>
              </w:rPr>
            </w:pPr>
            <w:r>
              <w:rPr>
                <w:rFonts w:hint="eastAsia" w:ascii="宋体" w:hAnsi="宋体" w:cs="宋体"/>
                <w:sz w:val="22"/>
                <w:szCs w:val="22"/>
              </w:rPr>
              <w:t>多乐士、立邦、嘉宝莉</w:t>
            </w:r>
          </w:p>
        </w:tc>
      </w:tr>
      <w:tr w14:paraId="628EF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14E14D0F">
            <w:pPr>
              <w:spacing w:line="400" w:lineRule="exact"/>
              <w:jc w:val="center"/>
              <w:rPr>
                <w:rFonts w:hint="eastAsia" w:ascii="宋体" w:hAnsi="宋体" w:cs="宋体"/>
                <w:sz w:val="22"/>
                <w:szCs w:val="22"/>
              </w:rPr>
            </w:pPr>
            <w:r>
              <w:rPr>
                <w:rFonts w:hint="eastAsia" w:ascii="宋体" w:hAnsi="宋体" w:cs="宋体"/>
                <w:sz w:val="22"/>
                <w:szCs w:val="22"/>
              </w:rPr>
              <w:t>10</w:t>
            </w:r>
          </w:p>
        </w:tc>
        <w:tc>
          <w:tcPr>
            <w:tcW w:w="2127" w:type="dxa"/>
            <w:noWrap w:val="0"/>
            <w:vAlign w:val="center"/>
          </w:tcPr>
          <w:p w14:paraId="667B1DE9">
            <w:pPr>
              <w:spacing w:line="400" w:lineRule="exact"/>
              <w:jc w:val="center"/>
              <w:rPr>
                <w:rFonts w:hint="eastAsia" w:ascii="宋体" w:hAnsi="宋体" w:cs="宋体"/>
                <w:sz w:val="22"/>
                <w:szCs w:val="22"/>
              </w:rPr>
            </w:pPr>
            <w:r>
              <w:rPr>
                <w:rFonts w:hint="eastAsia" w:ascii="宋体" w:hAnsi="宋体" w:cs="宋体"/>
                <w:sz w:val="22"/>
                <w:szCs w:val="22"/>
              </w:rPr>
              <w:t>金属面油漆</w:t>
            </w:r>
          </w:p>
        </w:tc>
        <w:tc>
          <w:tcPr>
            <w:tcW w:w="5720" w:type="dxa"/>
            <w:noWrap w:val="0"/>
            <w:vAlign w:val="center"/>
          </w:tcPr>
          <w:p w14:paraId="6B35BE2B">
            <w:pPr>
              <w:spacing w:line="400" w:lineRule="exact"/>
              <w:jc w:val="center"/>
              <w:rPr>
                <w:rFonts w:hint="eastAsia" w:ascii="宋体" w:hAnsi="宋体" w:cs="宋体"/>
                <w:sz w:val="22"/>
                <w:szCs w:val="22"/>
              </w:rPr>
            </w:pPr>
            <w:r>
              <w:rPr>
                <w:rFonts w:hint="eastAsia" w:ascii="宋体" w:hAnsi="宋体" w:cs="宋体"/>
                <w:sz w:val="22"/>
                <w:szCs w:val="22"/>
              </w:rPr>
              <w:t>迪威尔油霸、嘉达高科JU2929G、立邦氟碳</w:t>
            </w:r>
          </w:p>
        </w:tc>
      </w:tr>
      <w:tr w14:paraId="4BC3B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031F7FB1">
            <w:pPr>
              <w:spacing w:line="400" w:lineRule="exact"/>
              <w:jc w:val="center"/>
              <w:rPr>
                <w:rFonts w:hint="eastAsia" w:ascii="宋体" w:hAnsi="宋体" w:cs="宋体"/>
                <w:sz w:val="22"/>
                <w:szCs w:val="22"/>
              </w:rPr>
            </w:pPr>
            <w:r>
              <w:rPr>
                <w:rFonts w:hint="eastAsia" w:ascii="宋体" w:hAnsi="宋体" w:cs="宋体"/>
                <w:sz w:val="22"/>
                <w:szCs w:val="22"/>
              </w:rPr>
              <w:t>11</w:t>
            </w:r>
          </w:p>
        </w:tc>
        <w:tc>
          <w:tcPr>
            <w:tcW w:w="2127" w:type="dxa"/>
            <w:noWrap w:val="0"/>
            <w:vAlign w:val="center"/>
          </w:tcPr>
          <w:p w14:paraId="0A23B9FB">
            <w:pPr>
              <w:jc w:val="center"/>
              <w:rPr>
                <w:rFonts w:hint="eastAsia" w:ascii="宋体" w:hAnsi="宋体" w:cs="宋体"/>
                <w:sz w:val="22"/>
                <w:szCs w:val="22"/>
              </w:rPr>
            </w:pPr>
            <w:r>
              <w:rPr>
                <w:rFonts w:hint="eastAsia" w:ascii="宋体" w:hAnsi="宋体" w:cs="宋体"/>
                <w:sz w:val="22"/>
                <w:szCs w:val="22"/>
              </w:rPr>
              <w:t>木地板</w:t>
            </w:r>
          </w:p>
        </w:tc>
        <w:tc>
          <w:tcPr>
            <w:tcW w:w="5720" w:type="dxa"/>
            <w:noWrap w:val="0"/>
            <w:vAlign w:val="center"/>
          </w:tcPr>
          <w:p w14:paraId="282A389E">
            <w:pPr>
              <w:jc w:val="center"/>
              <w:rPr>
                <w:rFonts w:hint="eastAsia" w:ascii="宋体" w:hAnsi="宋体" w:cs="宋体"/>
                <w:sz w:val="22"/>
                <w:szCs w:val="22"/>
              </w:rPr>
            </w:pPr>
            <w:r>
              <w:rPr>
                <w:rFonts w:hint="eastAsia" w:ascii="宋体" w:hAnsi="宋体" w:cs="宋体"/>
                <w:sz w:val="22"/>
                <w:szCs w:val="22"/>
              </w:rPr>
              <w:fldChar w:fldCharType="begin"/>
            </w:r>
            <w:r>
              <w:rPr>
                <w:rFonts w:hint="eastAsia" w:ascii="宋体" w:hAnsi="宋体" w:cs="宋体"/>
                <w:sz w:val="22"/>
                <w:szCs w:val="22"/>
              </w:rPr>
              <w:instrText xml:space="preserve"> HYPERLINK "http://www.meilele.com/brand-539/?from=jiajuxz" \t "_blank" </w:instrText>
            </w:r>
            <w:r>
              <w:rPr>
                <w:rFonts w:hint="eastAsia" w:ascii="宋体" w:hAnsi="宋体" w:cs="宋体"/>
                <w:sz w:val="22"/>
                <w:szCs w:val="22"/>
              </w:rPr>
              <w:fldChar w:fldCharType="separate"/>
            </w:r>
            <w:r>
              <w:rPr>
                <w:rFonts w:hint="eastAsia" w:ascii="宋体" w:hAnsi="宋体" w:cs="宋体"/>
                <w:sz w:val="22"/>
                <w:szCs w:val="22"/>
              </w:rPr>
              <w:t>大自然地板</w:t>
            </w:r>
            <w:r>
              <w:rPr>
                <w:rFonts w:hint="eastAsia" w:ascii="宋体" w:hAnsi="宋体" w:cs="宋体"/>
                <w:sz w:val="22"/>
                <w:szCs w:val="22"/>
              </w:rPr>
              <w:fldChar w:fldCharType="end"/>
            </w:r>
            <w:r>
              <w:rPr>
                <w:rFonts w:hint="eastAsia" w:ascii="宋体" w:hAnsi="宋体" w:cs="宋体"/>
                <w:sz w:val="22"/>
                <w:szCs w:val="22"/>
              </w:rPr>
              <w:t>、</w:t>
            </w:r>
            <w:r>
              <w:rPr>
                <w:rFonts w:hint="eastAsia" w:ascii="宋体" w:hAnsi="宋体" w:cs="宋体"/>
                <w:sz w:val="22"/>
                <w:szCs w:val="22"/>
              </w:rPr>
              <w:fldChar w:fldCharType="begin"/>
            </w:r>
            <w:r>
              <w:rPr>
                <w:rFonts w:hint="eastAsia" w:ascii="宋体" w:hAnsi="宋体" w:cs="宋体"/>
                <w:sz w:val="22"/>
                <w:szCs w:val="22"/>
              </w:rPr>
              <w:instrText xml:space="preserve"> HYPERLINK "http://www.meilele.com/brand-597/?from=jiancaipy" \t "_blank" </w:instrText>
            </w:r>
            <w:r>
              <w:rPr>
                <w:rFonts w:hint="eastAsia" w:ascii="宋体" w:hAnsi="宋体" w:cs="宋体"/>
                <w:sz w:val="22"/>
                <w:szCs w:val="22"/>
              </w:rPr>
              <w:fldChar w:fldCharType="separate"/>
            </w:r>
            <w:r>
              <w:rPr>
                <w:rFonts w:hint="eastAsia" w:ascii="宋体" w:hAnsi="宋体" w:cs="宋体"/>
                <w:sz w:val="22"/>
                <w:szCs w:val="22"/>
              </w:rPr>
              <w:t>安信地板</w:t>
            </w:r>
            <w:r>
              <w:rPr>
                <w:rFonts w:hint="eastAsia" w:ascii="宋体" w:hAnsi="宋体" w:cs="宋体"/>
                <w:sz w:val="22"/>
                <w:szCs w:val="22"/>
              </w:rPr>
              <w:fldChar w:fldCharType="end"/>
            </w:r>
            <w:r>
              <w:rPr>
                <w:rFonts w:hint="eastAsia" w:ascii="宋体" w:hAnsi="宋体" w:cs="宋体"/>
                <w:sz w:val="22"/>
                <w:szCs w:val="22"/>
              </w:rPr>
              <w:t>、</w:t>
            </w:r>
            <w:r>
              <w:rPr>
                <w:rFonts w:hint="eastAsia" w:ascii="宋体" w:hAnsi="宋体" w:cs="宋体"/>
                <w:sz w:val="22"/>
                <w:szCs w:val="22"/>
              </w:rPr>
              <w:fldChar w:fldCharType="begin"/>
            </w:r>
            <w:r>
              <w:rPr>
                <w:rFonts w:hint="eastAsia" w:ascii="宋体" w:hAnsi="宋体" w:cs="宋体"/>
                <w:sz w:val="22"/>
                <w:szCs w:val="22"/>
              </w:rPr>
              <w:instrText xml:space="preserve"> HYPERLINK "http://www.meilele.com/brand-317/?from=jcyangyu1" \t "_blank" </w:instrText>
            </w:r>
            <w:r>
              <w:rPr>
                <w:rFonts w:hint="eastAsia" w:ascii="宋体" w:hAnsi="宋体" w:cs="宋体"/>
                <w:sz w:val="22"/>
                <w:szCs w:val="22"/>
              </w:rPr>
              <w:fldChar w:fldCharType="separate"/>
            </w:r>
            <w:r>
              <w:rPr>
                <w:rFonts w:hint="eastAsia" w:ascii="宋体" w:hAnsi="宋体" w:cs="宋体"/>
                <w:sz w:val="22"/>
                <w:szCs w:val="22"/>
              </w:rPr>
              <w:t>贝尔地板</w:t>
            </w:r>
            <w:r>
              <w:rPr>
                <w:rFonts w:hint="eastAsia" w:ascii="宋体" w:hAnsi="宋体" w:cs="宋体"/>
                <w:sz w:val="22"/>
                <w:szCs w:val="22"/>
              </w:rPr>
              <w:fldChar w:fldCharType="end"/>
            </w:r>
            <w:r>
              <w:rPr>
                <w:rFonts w:hint="eastAsia" w:ascii="宋体" w:hAnsi="宋体" w:cs="宋体"/>
                <w:sz w:val="22"/>
                <w:szCs w:val="22"/>
              </w:rPr>
              <w:t>、圣象地板</w:t>
            </w:r>
          </w:p>
        </w:tc>
      </w:tr>
      <w:tr w14:paraId="10F86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650C5080">
            <w:pPr>
              <w:spacing w:line="400" w:lineRule="exact"/>
              <w:jc w:val="center"/>
              <w:rPr>
                <w:rFonts w:hint="eastAsia" w:ascii="宋体" w:hAnsi="宋体" w:cs="宋体"/>
                <w:sz w:val="22"/>
                <w:szCs w:val="22"/>
              </w:rPr>
            </w:pPr>
            <w:r>
              <w:rPr>
                <w:rFonts w:hint="eastAsia" w:ascii="宋体" w:hAnsi="宋体" w:cs="宋体"/>
                <w:sz w:val="22"/>
                <w:szCs w:val="22"/>
              </w:rPr>
              <w:t>12</w:t>
            </w:r>
          </w:p>
        </w:tc>
        <w:tc>
          <w:tcPr>
            <w:tcW w:w="2127" w:type="dxa"/>
            <w:noWrap w:val="0"/>
            <w:vAlign w:val="center"/>
          </w:tcPr>
          <w:p w14:paraId="5B9ED430">
            <w:pPr>
              <w:jc w:val="center"/>
              <w:rPr>
                <w:rFonts w:hint="eastAsia" w:ascii="宋体" w:hAnsi="宋体" w:cs="宋体"/>
                <w:sz w:val="22"/>
                <w:szCs w:val="22"/>
              </w:rPr>
            </w:pPr>
            <w:r>
              <w:rPr>
                <w:rFonts w:hint="eastAsia" w:ascii="宋体" w:hAnsi="宋体" w:cs="宋体"/>
                <w:sz w:val="22"/>
                <w:szCs w:val="22"/>
              </w:rPr>
              <w:t>塑钢门窗</w:t>
            </w:r>
          </w:p>
        </w:tc>
        <w:tc>
          <w:tcPr>
            <w:tcW w:w="5720" w:type="dxa"/>
            <w:noWrap w:val="0"/>
            <w:vAlign w:val="center"/>
          </w:tcPr>
          <w:p w14:paraId="2D53047B">
            <w:pPr>
              <w:jc w:val="center"/>
              <w:rPr>
                <w:rFonts w:hint="eastAsia" w:ascii="宋体" w:hAnsi="宋体" w:cs="宋体"/>
                <w:sz w:val="22"/>
                <w:szCs w:val="22"/>
              </w:rPr>
            </w:pPr>
            <w:r>
              <w:rPr>
                <w:rFonts w:hint="eastAsia" w:ascii="宋体" w:hAnsi="宋体" w:cs="宋体"/>
                <w:sz w:val="22"/>
                <w:szCs w:val="22"/>
              </w:rPr>
              <w:t>海螺、实德、凤铝</w:t>
            </w:r>
          </w:p>
        </w:tc>
      </w:tr>
      <w:tr w14:paraId="695A0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5" w:type="dxa"/>
            <w:noWrap w:val="0"/>
            <w:vAlign w:val="center"/>
          </w:tcPr>
          <w:p w14:paraId="3AC17A53">
            <w:pPr>
              <w:spacing w:line="400" w:lineRule="exact"/>
              <w:jc w:val="center"/>
              <w:rPr>
                <w:rFonts w:hint="eastAsia" w:ascii="宋体" w:hAnsi="宋体" w:cs="宋体"/>
                <w:sz w:val="22"/>
                <w:szCs w:val="22"/>
              </w:rPr>
            </w:pPr>
            <w:r>
              <w:rPr>
                <w:rFonts w:hint="eastAsia" w:ascii="宋体" w:hAnsi="宋体" w:cs="宋体"/>
                <w:sz w:val="22"/>
                <w:szCs w:val="22"/>
              </w:rPr>
              <w:t>13</w:t>
            </w:r>
          </w:p>
        </w:tc>
        <w:tc>
          <w:tcPr>
            <w:tcW w:w="2127" w:type="dxa"/>
            <w:noWrap w:val="0"/>
            <w:vAlign w:val="center"/>
          </w:tcPr>
          <w:p w14:paraId="32C39EA1">
            <w:pPr>
              <w:spacing w:line="400" w:lineRule="exact"/>
              <w:jc w:val="center"/>
              <w:rPr>
                <w:rFonts w:hint="eastAsia" w:ascii="宋体" w:hAnsi="宋体" w:cs="宋体"/>
                <w:sz w:val="22"/>
                <w:szCs w:val="22"/>
              </w:rPr>
            </w:pPr>
            <w:r>
              <w:rPr>
                <w:rFonts w:hint="eastAsia" w:ascii="宋体" w:hAnsi="宋体" w:cs="宋体"/>
                <w:sz w:val="22"/>
                <w:szCs w:val="22"/>
              </w:rPr>
              <w:t>防水材料</w:t>
            </w:r>
          </w:p>
        </w:tc>
        <w:tc>
          <w:tcPr>
            <w:tcW w:w="5720" w:type="dxa"/>
            <w:noWrap w:val="0"/>
            <w:vAlign w:val="center"/>
          </w:tcPr>
          <w:p w14:paraId="4B9E33DD">
            <w:pPr>
              <w:jc w:val="center"/>
              <w:rPr>
                <w:rFonts w:hint="eastAsia" w:ascii="宋体" w:hAnsi="宋体" w:cs="宋体"/>
                <w:sz w:val="22"/>
                <w:szCs w:val="22"/>
              </w:rPr>
            </w:pPr>
            <w:r>
              <w:rPr>
                <w:rFonts w:hint="eastAsia" w:ascii="宋体" w:hAnsi="宋体" w:cs="宋体"/>
                <w:sz w:val="22"/>
                <w:szCs w:val="22"/>
              </w:rPr>
              <w:t>东方雨虹、宏源、凯伦、北新、科顺、欧名朗</w:t>
            </w:r>
          </w:p>
        </w:tc>
      </w:tr>
      <w:tr w14:paraId="2A038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5" w:type="dxa"/>
            <w:noWrap w:val="0"/>
            <w:vAlign w:val="center"/>
          </w:tcPr>
          <w:p w14:paraId="185066F6">
            <w:pPr>
              <w:spacing w:line="400" w:lineRule="exact"/>
              <w:jc w:val="center"/>
              <w:rPr>
                <w:rFonts w:hint="eastAsia" w:ascii="宋体" w:hAnsi="宋体" w:cs="宋体"/>
                <w:sz w:val="22"/>
                <w:szCs w:val="22"/>
              </w:rPr>
            </w:pPr>
            <w:r>
              <w:rPr>
                <w:rFonts w:hint="eastAsia" w:ascii="宋体" w:hAnsi="宋体" w:cs="宋体"/>
                <w:sz w:val="22"/>
                <w:szCs w:val="22"/>
              </w:rPr>
              <w:t>14</w:t>
            </w:r>
          </w:p>
        </w:tc>
        <w:tc>
          <w:tcPr>
            <w:tcW w:w="2127" w:type="dxa"/>
            <w:noWrap w:val="0"/>
            <w:vAlign w:val="center"/>
          </w:tcPr>
          <w:p w14:paraId="53743E3A">
            <w:pPr>
              <w:adjustRightInd w:val="0"/>
              <w:snapToGrid w:val="0"/>
              <w:jc w:val="center"/>
              <w:rPr>
                <w:rFonts w:hint="eastAsia" w:ascii="宋体" w:hAnsi="宋体" w:cs="宋体"/>
                <w:sz w:val="22"/>
                <w:szCs w:val="22"/>
              </w:rPr>
            </w:pPr>
            <w:r>
              <w:rPr>
                <w:rFonts w:hint="eastAsia" w:ascii="宋体" w:hAnsi="宋体" w:cs="宋体"/>
                <w:sz w:val="22"/>
                <w:szCs w:val="22"/>
              </w:rPr>
              <w:t>PVC卷材地板</w:t>
            </w:r>
          </w:p>
        </w:tc>
        <w:tc>
          <w:tcPr>
            <w:tcW w:w="5720" w:type="dxa"/>
            <w:noWrap w:val="0"/>
            <w:vAlign w:val="center"/>
          </w:tcPr>
          <w:p w14:paraId="001BCE75">
            <w:pPr>
              <w:jc w:val="center"/>
              <w:rPr>
                <w:rFonts w:hint="eastAsia" w:ascii="宋体" w:hAnsi="宋体" w:cs="宋体"/>
                <w:sz w:val="22"/>
                <w:szCs w:val="22"/>
              </w:rPr>
            </w:pPr>
            <w:r>
              <w:rPr>
                <w:rFonts w:hint="eastAsia" w:ascii="宋体" w:hAnsi="宋体" w:cs="宋体"/>
                <w:sz w:val="22"/>
                <w:szCs w:val="22"/>
              </w:rPr>
              <w:t>德嘉、洁福、大巨龙、卡曼</w:t>
            </w:r>
          </w:p>
        </w:tc>
      </w:tr>
      <w:tr w14:paraId="0881E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06A93863">
            <w:pPr>
              <w:spacing w:line="400" w:lineRule="exact"/>
              <w:jc w:val="center"/>
              <w:rPr>
                <w:rFonts w:hint="eastAsia" w:ascii="宋体" w:hAnsi="宋体" w:cs="宋体"/>
                <w:sz w:val="22"/>
                <w:szCs w:val="22"/>
              </w:rPr>
            </w:pPr>
            <w:r>
              <w:rPr>
                <w:rFonts w:hint="eastAsia" w:ascii="宋体" w:hAnsi="宋体" w:cs="宋体"/>
                <w:sz w:val="22"/>
                <w:szCs w:val="22"/>
              </w:rPr>
              <w:t>15</w:t>
            </w:r>
          </w:p>
        </w:tc>
        <w:tc>
          <w:tcPr>
            <w:tcW w:w="2127" w:type="dxa"/>
            <w:noWrap w:val="0"/>
            <w:vAlign w:val="center"/>
          </w:tcPr>
          <w:p w14:paraId="3F6EEB02">
            <w:pPr>
              <w:jc w:val="center"/>
              <w:rPr>
                <w:rFonts w:hint="eastAsia" w:ascii="宋体" w:hAnsi="宋体" w:cs="宋体"/>
                <w:sz w:val="22"/>
                <w:szCs w:val="22"/>
              </w:rPr>
            </w:pPr>
            <w:r>
              <w:rPr>
                <w:rFonts w:hint="eastAsia" w:ascii="宋体" w:hAnsi="宋体" w:cs="宋体"/>
                <w:sz w:val="22"/>
                <w:szCs w:val="22"/>
              </w:rPr>
              <w:t>外墙涂料</w:t>
            </w:r>
          </w:p>
        </w:tc>
        <w:tc>
          <w:tcPr>
            <w:tcW w:w="5720" w:type="dxa"/>
            <w:noWrap w:val="0"/>
            <w:vAlign w:val="center"/>
          </w:tcPr>
          <w:p w14:paraId="34ECFE93">
            <w:pPr>
              <w:jc w:val="center"/>
              <w:rPr>
                <w:rFonts w:hint="eastAsia" w:ascii="宋体" w:hAnsi="宋体" w:cs="宋体"/>
                <w:sz w:val="22"/>
                <w:szCs w:val="22"/>
              </w:rPr>
            </w:pPr>
            <w:r>
              <w:rPr>
                <w:rFonts w:hint="eastAsia" w:ascii="宋体" w:hAnsi="宋体" w:cs="宋体"/>
                <w:sz w:val="22"/>
                <w:szCs w:val="22"/>
              </w:rPr>
              <w:t>SKK、立邦、嘉宝莉</w:t>
            </w:r>
          </w:p>
        </w:tc>
      </w:tr>
      <w:tr w14:paraId="57612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775A2CAD">
            <w:pPr>
              <w:spacing w:line="400" w:lineRule="exact"/>
              <w:jc w:val="center"/>
              <w:rPr>
                <w:rFonts w:hint="eastAsia" w:ascii="宋体" w:hAnsi="宋体" w:cs="宋体"/>
                <w:sz w:val="22"/>
                <w:szCs w:val="22"/>
              </w:rPr>
            </w:pPr>
            <w:r>
              <w:rPr>
                <w:rFonts w:hint="eastAsia" w:ascii="宋体" w:hAnsi="宋体" w:cs="宋体"/>
                <w:sz w:val="22"/>
                <w:szCs w:val="22"/>
              </w:rPr>
              <w:t>16</w:t>
            </w:r>
          </w:p>
        </w:tc>
        <w:tc>
          <w:tcPr>
            <w:tcW w:w="2127" w:type="dxa"/>
            <w:noWrap w:val="0"/>
            <w:vAlign w:val="center"/>
          </w:tcPr>
          <w:p w14:paraId="1B35B76F">
            <w:pPr>
              <w:adjustRightInd w:val="0"/>
              <w:snapToGrid w:val="0"/>
              <w:jc w:val="center"/>
              <w:rPr>
                <w:rFonts w:hint="eastAsia" w:ascii="宋体" w:hAnsi="宋体" w:cs="宋体"/>
                <w:sz w:val="22"/>
                <w:szCs w:val="22"/>
              </w:rPr>
            </w:pPr>
            <w:r>
              <w:rPr>
                <w:rFonts w:hint="eastAsia" w:ascii="宋体" w:hAnsi="宋体" w:cs="宋体"/>
                <w:sz w:val="22"/>
                <w:szCs w:val="22"/>
              </w:rPr>
              <w:t>防火门</w:t>
            </w:r>
          </w:p>
        </w:tc>
        <w:tc>
          <w:tcPr>
            <w:tcW w:w="5720" w:type="dxa"/>
            <w:noWrap w:val="0"/>
            <w:vAlign w:val="center"/>
          </w:tcPr>
          <w:p w14:paraId="7100BFD7">
            <w:pPr>
              <w:jc w:val="center"/>
              <w:rPr>
                <w:rFonts w:ascii="宋体" w:hAnsi="宋体" w:cs="宋体"/>
                <w:sz w:val="22"/>
                <w:szCs w:val="22"/>
              </w:rPr>
            </w:pPr>
            <w:r>
              <w:rPr>
                <w:rFonts w:hint="eastAsia" w:ascii="宋体" w:hAnsi="宋体" w:cs="宋体"/>
                <w:sz w:val="22"/>
                <w:szCs w:val="22"/>
              </w:rPr>
              <w:t>恒昌达、龙电、霍曼</w:t>
            </w:r>
          </w:p>
        </w:tc>
      </w:tr>
      <w:tr w14:paraId="2EF02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350A7A3A">
            <w:pPr>
              <w:spacing w:line="400" w:lineRule="exact"/>
              <w:jc w:val="center"/>
              <w:rPr>
                <w:rFonts w:hint="eastAsia" w:ascii="宋体" w:hAnsi="宋体" w:cs="宋体"/>
                <w:sz w:val="22"/>
                <w:szCs w:val="22"/>
              </w:rPr>
            </w:pPr>
            <w:r>
              <w:rPr>
                <w:rFonts w:hint="eastAsia" w:ascii="宋体" w:hAnsi="宋体" w:cs="宋体"/>
                <w:sz w:val="22"/>
                <w:szCs w:val="22"/>
              </w:rPr>
              <w:t>17</w:t>
            </w:r>
          </w:p>
        </w:tc>
        <w:tc>
          <w:tcPr>
            <w:tcW w:w="2127" w:type="dxa"/>
            <w:noWrap w:val="0"/>
            <w:vAlign w:val="center"/>
          </w:tcPr>
          <w:p w14:paraId="0098A504">
            <w:pPr>
              <w:jc w:val="center"/>
              <w:rPr>
                <w:rFonts w:hint="eastAsia" w:ascii="宋体" w:hAnsi="宋体" w:cs="宋体"/>
                <w:sz w:val="22"/>
                <w:szCs w:val="22"/>
              </w:rPr>
            </w:pPr>
            <w:r>
              <w:rPr>
                <w:rFonts w:hint="eastAsia" w:ascii="宋体" w:hAnsi="宋体" w:cs="宋体"/>
                <w:sz w:val="22"/>
                <w:szCs w:val="22"/>
              </w:rPr>
              <w:t>铝天花</w:t>
            </w:r>
          </w:p>
        </w:tc>
        <w:tc>
          <w:tcPr>
            <w:tcW w:w="5720" w:type="dxa"/>
            <w:noWrap w:val="0"/>
            <w:vAlign w:val="center"/>
          </w:tcPr>
          <w:p w14:paraId="7537C6EC">
            <w:pPr>
              <w:jc w:val="center"/>
              <w:rPr>
                <w:rFonts w:hint="eastAsia" w:ascii="宋体" w:hAnsi="宋体" w:cs="宋体"/>
                <w:sz w:val="22"/>
                <w:szCs w:val="22"/>
              </w:rPr>
            </w:pPr>
            <w:r>
              <w:rPr>
                <w:rFonts w:hint="eastAsia" w:ascii="宋体" w:hAnsi="宋体" w:cs="宋体"/>
                <w:sz w:val="22"/>
                <w:szCs w:val="22"/>
              </w:rPr>
              <w:t>至高、伟秦、长虹</w:t>
            </w:r>
          </w:p>
        </w:tc>
      </w:tr>
      <w:tr w14:paraId="4C872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5BB589DD">
            <w:pPr>
              <w:spacing w:line="400" w:lineRule="exact"/>
              <w:jc w:val="center"/>
              <w:rPr>
                <w:rFonts w:hint="eastAsia" w:ascii="宋体" w:hAnsi="宋体" w:cs="宋体"/>
                <w:sz w:val="22"/>
                <w:szCs w:val="22"/>
              </w:rPr>
            </w:pPr>
            <w:r>
              <w:rPr>
                <w:rFonts w:hint="eastAsia" w:ascii="宋体" w:hAnsi="宋体" w:cs="宋体"/>
                <w:sz w:val="22"/>
                <w:szCs w:val="22"/>
              </w:rPr>
              <w:t>18</w:t>
            </w:r>
          </w:p>
        </w:tc>
        <w:tc>
          <w:tcPr>
            <w:tcW w:w="2127" w:type="dxa"/>
            <w:noWrap w:val="0"/>
            <w:vAlign w:val="center"/>
          </w:tcPr>
          <w:p w14:paraId="17F776D4">
            <w:pPr>
              <w:jc w:val="center"/>
              <w:rPr>
                <w:rFonts w:hint="eastAsia" w:ascii="宋体" w:hAnsi="宋体" w:cs="宋体"/>
                <w:sz w:val="22"/>
                <w:szCs w:val="22"/>
              </w:rPr>
            </w:pPr>
            <w:r>
              <w:rPr>
                <w:rFonts w:hint="eastAsia" w:ascii="宋体" w:hAnsi="宋体" w:cs="宋体"/>
                <w:sz w:val="22"/>
                <w:szCs w:val="22"/>
              </w:rPr>
              <w:t>木门</w:t>
            </w:r>
          </w:p>
        </w:tc>
        <w:tc>
          <w:tcPr>
            <w:tcW w:w="5720" w:type="dxa"/>
            <w:noWrap w:val="0"/>
            <w:vAlign w:val="center"/>
          </w:tcPr>
          <w:p w14:paraId="5DD78462">
            <w:pPr>
              <w:jc w:val="center"/>
              <w:rPr>
                <w:rFonts w:hint="eastAsia" w:ascii="宋体" w:hAnsi="宋体" w:cs="宋体"/>
                <w:sz w:val="22"/>
                <w:szCs w:val="22"/>
              </w:rPr>
            </w:pPr>
            <w:r>
              <w:rPr>
                <w:rFonts w:hint="eastAsia" w:ascii="宋体" w:hAnsi="宋体" w:cs="宋体"/>
                <w:sz w:val="22"/>
                <w:szCs w:val="22"/>
              </w:rPr>
              <w:t>润成创展、冠牛、豪威尔、华衍木业</w:t>
            </w:r>
          </w:p>
        </w:tc>
      </w:tr>
      <w:tr w14:paraId="087B1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2433A63E">
            <w:pPr>
              <w:spacing w:line="400" w:lineRule="exact"/>
              <w:jc w:val="center"/>
              <w:rPr>
                <w:rFonts w:hint="eastAsia" w:ascii="宋体" w:hAnsi="宋体" w:cs="宋体"/>
                <w:sz w:val="22"/>
                <w:szCs w:val="22"/>
              </w:rPr>
            </w:pPr>
            <w:r>
              <w:rPr>
                <w:rFonts w:hint="eastAsia" w:ascii="宋体" w:hAnsi="宋体" w:cs="宋体"/>
                <w:sz w:val="22"/>
                <w:szCs w:val="22"/>
              </w:rPr>
              <w:t>19</w:t>
            </w:r>
          </w:p>
        </w:tc>
        <w:tc>
          <w:tcPr>
            <w:tcW w:w="2127" w:type="dxa"/>
            <w:noWrap w:val="0"/>
            <w:vAlign w:val="center"/>
          </w:tcPr>
          <w:p w14:paraId="2C9585B8">
            <w:pPr>
              <w:jc w:val="center"/>
              <w:rPr>
                <w:rFonts w:hint="eastAsia" w:ascii="宋体" w:hAnsi="宋体" w:cs="宋体"/>
                <w:sz w:val="22"/>
                <w:szCs w:val="22"/>
              </w:rPr>
            </w:pPr>
            <w:r>
              <w:rPr>
                <w:rFonts w:hint="eastAsia" w:ascii="宋体" w:hAnsi="宋体" w:cs="宋体"/>
                <w:sz w:val="22"/>
                <w:szCs w:val="22"/>
              </w:rPr>
              <w:t>铝合金门窗</w:t>
            </w:r>
          </w:p>
        </w:tc>
        <w:tc>
          <w:tcPr>
            <w:tcW w:w="5720" w:type="dxa"/>
            <w:noWrap w:val="0"/>
            <w:vAlign w:val="center"/>
          </w:tcPr>
          <w:p w14:paraId="05B1F50C">
            <w:pPr>
              <w:jc w:val="center"/>
              <w:rPr>
                <w:rFonts w:hint="eastAsia" w:ascii="宋体" w:hAnsi="宋体" w:cs="宋体"/>
                <w:sz w:val="22"/>
                <w:szCs w:val="22"/>
              </w:rPr>
            </w:pPr>
            <w:r>
              <w:rPr>
                <w:rFonts w:hint="eastAsia" w:ascii="宋体" w:hAnsi="宋体" w:cs="宋体"/>
                <w:sz w:val="22"/>
                <w:szCs w:val="22"/>
              </w:rPr>
              <w:t>永利坚、派成铝业、深业泰然、科源</w:t>
            </w:r>
          </w:p>
        </w:tc>
      </w:tr>
      <w:tr w14:paraId="126AF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56B38A7D">
            <w:pPr>
              <w:spacing w:line="400" w:lineRule="exact"/>
              <w:jc w:val="center"/>
              <w:rPr>
                <w:rFonts w:hint="eastAsia" w:ascii="宋体" w:hAnsi="宋体" w:cs="宋体"/>
                <w:sz w:val="22"/>
                <w:szCs w:val="22"/>
              </w:rPr>
            </w:pPr>
            <w:r>
              <w:rPr>
                <w:rFonts w:hint="eastAsia" w:ascii="宋体" w:hAnsi="宋体" w:cs="宋体"/>
                <w:sz w:val="22"/>
                <w:szCs w:val="22"/>
              </w:rPr>
              <w:t>20</w:t>
            </w:r>
          </w:p>
        </w:tc>
        <w:tc>
          <w:tcPr>
            <w:tcW w:w="2127" w:type="dxa"/>
            <w:noWrap w:val="0"/>
            <w:vAlign w:val="center"/>
          </w:tcPr>
          <w:p w14:paraId="00397D39">
            <w:pPr>
              <w:jc w:val="center"/>
              <w:rPr>
                <w:rFonts w:hint="eastAsia" w:ascii="宋体" w:hAnsi="宋体" w:cs="宋体"/>
                <w:sz w:val="22"/>
                <w:szCs w:val="22"/>
              </w:rPr>
            </w:pPr>
            <w:r>
              <w:rPr>
                <w:rFonts w:hint="eastAsia" w:ascii="宋体" w:hAnsi="宋体" w:cs="宋体"/>
                <w:sz w:val="22"/>
                <w:szCs w:val="22"/>
              </w:rPr>
              <w:t>室内LED灯具</w:t>
            </w:r>
          </w:p>
        </w:tc>
        <w:tc>
          <w:tcPr>
            <w:tcW w:w="5720" w:type="dxa"/>
            <w:noWrap w:val="0"/>
            <w:vAlign w:val="center"/>
          </w:tcPr>
          <w:p w14:paraId="1197461A">
            <w:pPr>
              <w:jc w:val="center"/>
              <w:rPr>
                <w:rFonts w:hint="eastAsia" w:ascii="宋体" w:hAnsi="宋体" w:cs="宋体"/>
                <w:sz w:val="22"/>
                <w:szCs w:val="22"/>
              </w:rPr>
            </w:pPr>
            <w:r>
              <w:rPr>
                <w:rFonts w:hint="eastAsia" w:ascii="宋体" w:hAnsi="宋体" w:cs="宋体"/>
                <w:sz w:val="22"/>
                <w:szCs w:val="22"/>
              </w:rPr>
              <w:t>心诺飞、三雄、佛山照明</w:t>
            </w:r>
          </w:p>
        </w:tc>
      </w:tr>
      <w:tr w14:paraId="177E0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52207103">
            <w:pPr>
              <w:spacing w:line="400" w:lineRule="exact"/>
              <w:jc w:val="center"/>
              <w:rPr>
                <w:rFonts w:hint="eastAsia" w:ascii="宋体" w:hAnsi="宋体" w:cs="宋体"/>
                <w:sz w:val="22"/>
                <w:szCs w:val="22"/>
              </w:rPr>
            </w:pPr>
            <w:r>
              <w:rPr>
                <w:rFonts w:hint="eastAsia" w:ascii="宋体" w:hAnsi="宋体" w:cs="宋体"/>
                <w:sz w:val="22"/>
                <w:szCs w:val="22"/>
              </w:rPr>
              <w:t>21</w:t>
            </w:r>
          </w:p>
        </w:tc>
        <w:tc>
          <w:tcPr>
            <w:tcW w:w="2127" w:type="dxa"/>
            <w:noWrap w:val="0"/>
            <w:vAlign w:val="center"/>
          </w:tcPr>
          <w:p w14:paraId="455218F5">
            <w:pPr>
              <w:jc w:val="center"/>
              <w:rPr>
                <w:rFonts w:hint="eastAsia" w:ascii="宋体" w:hAnsi="宋体" w:cs="宋体"/>
                <w:sz w:val="22"/>
                <w:szCs w:val="22"/>
              </w:rPr>
            </w:pPr>
            <w:r>
              <w:rPr>
                <w:rFonts w:hint="eastAsia" w:ascii="宋体" w:hAnsi="宋体" w:cs="宋体"/>
                <w:sz w:val="22"/>
                <w:szCs w:val="22"/>
              </w:rPr>
              <w:t>开关插座</w:t>
            </w:r>
          </w:p>
        </w:tc>
        <w:tc>
          <w:tcPr>
            <w:tcW w:w="5720" w:type="dxa"/>
            <w:noWrap w:val="0"/>
            <w:vAlign w:val="center"/>
          </w:tcPr>
          <w:p w14:paraId="6BB37D7D">
            <w:pPr>
              <w:jc w:val="center"/>
              <w:rPr>
                <w:rFonts w:hint="eastAsia" w:ascii="宋体" w:hAnsi="宋体" w:cs="宋体"/>
                <w:sz w:val="22"/>
                <w:szCs w:val="22"/>
              </w:rPr>
            </w:pPr>
            <w:r>
              <w:rPr>
                <w:rFonts w:hint="eastAsia" w:ascii="宋体" w:hAnsi="宋体" w:cs="宋体"/>
                <w:sz w:val="22"/>
                <w:szCs w:val="22"/>
              </w:rPr>
              <w:t>施耐德、西蒙、公牛</w:t>
            </w:r>
          </w:p>
        </w:tc>
      </w:tr>
      <w:tr w14:paraId="77D72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5294D050">
            <w:pPr>
              <w:spacing w:line="400" w:lineRule="exact"/>
              <w:jc w:val="center"/>
              <w:rPr>
                <w:rFonts w:hint="eastAsia" w:ascii="宋体" w:hAnsi="宋体" w:cs="宋体"/>
                <w:sz w:val="22"/>
                <w:szCs w:val="22"/>
              </w:rPr>
            </w:pPr>
            <w:r>
              <w:rPr>
                <w:rFonts w:hint="eastAsia" w:ascii="宋体" w:hAnsi="宋体" w:cs="宋体"/>
                <w:sz w:val="22"/>
                <w:szCs w:val="22"/>
              </w:rPr>
              <w:t>22</w:t>
            </w:r>
          </w:p>
        </w:tc>
        <w:tc>
          <w:tcPr>
            <w:tcW w:w="2127" w:type="dxa"/>
            <w:noWrap w:val="0"/>
            <w:vAlign w:val="center"/>
          </w:tcPr>
          <w:p w14:paraId="0171FDDE">
            <w:pPr>
              <w:jc w:val="center"/>
              <w:rPr>
                <w:rFonts w:hint="eastAsia" w:ascii="宋体" w:hAnsi="宋体" w:cs="宋体"/>
                <w:sz w:val="22"/>
                <w:szCs w:val="22"/>
              </w:rPr>
            </w:pPr>
            <w:r>
              <w:rPr>
                <w:rFonts w:hint="eastAsia" w:ascii="宋体" w:hAnsi="宋体" w:cs="宋体"/>
                <w:sz w:val="22"/>
                <w:szCs w:val="22"/>
              </w:rPr>
              <w:t>洁具</w:t>
            </w:r>
          </w:p>
        </w:tc>
        <w:tc>
          <w:tcPr>
            <w:tcW w:w="5720" w:type="dxa"/>
            <w:noWrap w:val="0"/>
            <w:vAlign w:val="center"/>
          </w:tcPr>
          <w:p w14:paraId="0640B457">
            <w:pPr>
              <w:jc w:val="center"/>
              <w:rPr>
                <w:rFonts w:hint="eastAsia" w:ascii="宋体" w:hAnsi="宋体" w:cs="宋体"/>
                <w:sz w:val="22"/>
                <w:szCs w:val="22"/>
              </w:rPr>
            </w:pPr>
            <w:r>
              <w:rPr>
                <w:rFonts w:hint="eastAsia" w:ascii="宋体" w:hAnsi="宋体" w:cs="宋体"/>
                <w:sz w:val="22"/>
                <w:szCs w:val="22"/>
              </w:rPr>
              <w:t>科勒、美标、和成、乐家</w:t>
            </w:r>
          </w:p>
        </w:tc>
      </w:tr>
      <w:tr w14:paraId="654E8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5E0E05DF">
            <w:pPr>
              <w:spacing w:line="400" w:lineRule="exact"/>
              <w:jc w:val="center"/>
              <w:rPr>
                <w:rFonts w:hint="eastAsia" w:ascii="宋体" w:hAnsi="宋体" w:cs="宋体"/>
                <w:sz w:val="22"/>
                <w:szCs w:val="22"/>
              </w:rPr>
            </w:pPr>
            <w:r>
              <w:rPr>
                <w:rFonts w:hint="eastAsia" w:ascii="宋体" w:hAnsi="宋体" w:cs="宋体"/>
                <w:sz w:val="22"/>
                <w:szCs w:val="22"/>
              </w:rPr>
              <w:t>23</w:t>
            </w:r>
          </w:p>
        </w:tc>
        <w:tc>
          <w:tcPr>
            <w:tcW w:w="2127" w:type="dxa"/>
            <w:noWrap w:val="0"/>
            <w:vAlign w:val="center"/>
          </w:tcPr>
          <w:p w14:paraId="249CA595">
            <w:pPr>
              <w:jc w:val="center"/>
              <w:rPr>
                <w:rFonts w:hint="eastAsia" w:ascii="宋体" w:hAnsi="宋体" w:cs="宋体"/>
                <w:sz w:val="22"/>
                <w:szCs w:val="22"/>
              </w:rPr>
            </w:pPr>
            <w:r>
              <w:rPr>
                <w:rFonts w:hint="eastAsia" w:ascii="宋体" w:hAnsi="宋体" w:cs="宋体"/>
                <w:sz w:val="22"/>
                <w:szCs w:val="22"/>
              </w:rPr>
              <w:t>电缆</w:t>
            </w:r>
          </w:p>
        </w:tc>
        <w:tc>
          <w:tcPr>
            <w:tcW w:w="5720" w:type="dxa"/>
            <w:noWrap w:val="0"/>
            <w:vAlign w:val="center"/>
          </w:tcPr>
          <w:p w14:paraId="54B38EE6">
            <w:pPr>
              <w:jc w:val="center"/>
              <w:rPr>
                <w:rFonts w:hint="eastAsia" w:ascii="宋体" w:hAnsi="宋体" w:cs="宋体"/>
                <w:sz w:val="22"/>
                <w:szCs w:val="22"/>
              </w:rPr>
            </w:pPr>
            <w:r>
              <w:rPr>
                <w:rFonts w:hint="eastAsia" w:ascii="宋体" w:hAnsi="宋体" w:cs="宋体"/>
                <w:sz w:val="22"/>
                <w:szCs w:val="22"/>
              </w:rPr>
              <w:t>亨通、南洋、奔达康、南光、金龙羽</w:t>
            </w:r>
          </w:p>
        </w:tc>
      </w:tr>
      <w:tr w14:paraId="6893F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664F3C3D">
            <w:pPr>
              <w:spacing w:line="400" w:lineRule="exact"/>
              <w:jc w:val="center"/>
              <w:rPr>
                <w:rFonts w:hint="eastAsia" w:ascii="宋体" w:hAnsi="宋体" w:cs="宋体"/>
                <w:sz w:val="22"/>
                <w:szCs w:val="22"/>
              </w:rPr>
            </w:pPr>
            <w:r>
              <w:rPr>
                <w:rFonts w:hint="eastAsia" w:ascii="宋体" w:hAnsi="宋体" w:cs="宋体"/>
                <w:sz w:val="22"/>
                <w:szCs w:val="22"/>
              </w:rPr>
              <w:t>24</w:t>
            </w:r>
          </w:p>
        </w:tc>
        <w:tc>
          <w:tcPr>
            <w:tcW w:w="2127" w:type="dxa"/>
            <w:noWrap w:val="0"/>
            <w:vAlign w:val="center"/>
          </w:tcPr>
          <w:p w14:paraId="2DFAF177">
            <w:pPr>
              <w:jc w:val="center"/>
              <w:rPr>
                <w:rFonts w:hint="eastAsia" w:ascii="宋体" w:hAnsi="宋体" w:cs="宋体"/>
                <w:sz w:val="22"/>
                <w:szCs w:val="22"/>
              </w:rPr>
            </w:pPr>
            <w:r>
              <w:rPr>
                <w:rFonts w:hint="eastAsia" w:ascii="宋体" w:hAnsi="宋体" w:cs="宋体"/>
                <w:sz w:val="22"/>
                <w:szCs w:val="22"/>
              </w:rPr>
              <w:t>瓷砖</w:t>
            </w:r>
          </w:p>
        </w:tc>
        <w:tc>
          <w:tcPr>
            <w:tcW w:w="5720" w:type="dxa"/>
            <w:noWrap w:val="0"/>
            <w:vAlign w:val="center"/>
          </w:tcPr>
          <w:p w14:paraId="235FE2A4">
            <w:pPr>
              <w:jc w:val="center"/>
              <w:rPr>
                <w:rFonts w:hint="eastAsia" w:ascii="宋体" w:hAnsi="宋体" w:cs="宋体"/>
                <w:sz w:val="22"/>
                <w:szCs w:val="22"/>
              </w:rPr>
            </w:pPr>
            <w:r>
              <w:rPr>
                <w:rFonts w:hint="eastAsia" w:ascii="宋体" w:hAnsi="宋体" w:cs="宋体"/>
                <w:sz w:val="22"/>
                <w:szCs w:val="22"/>
              </w:rPr>
              <w:t>东鹏、冠珠、欧神诺、诺贝尔、新中源</w:t>
            </w:r>
          </w:p>
        </w:tc>
      </w:tr>
      <w:tr w14:paraId="32B48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0690C33A">
            <w:pPr>
              <w:spacing w:line="400" w:lineRule="exact"/>
              <w:jc w:val="center"/>
              <w:rPr>
                <w:rFonts w:hint="eastAsia" w:ascii="宋体" w:hAnsi="宋体" w:cs="宋体"/>
                <w:sz w:val="22"/>
                <w:szCs w:val="22"/>
              </w:rPr>
            </w:pPr>
            <w:r>
              <w:rPr>
                <w:rFonts w:hint="eastAsia" w:ascii="宋体" w:hAnsi="宋体" w:cs="宋体"/>
                <w:sz w:val="22"/>
                <w:szCs w:val="22"/>
              </w:rPr>
              <w:t>25</w:t>
            </w:r>
          </w:p>
        </w:tc>
        <w:tc>
          <w:tcPr>
            <w:tcW w:w="2127" w:type="dxa"/>
            <w:noWrap w:val="0"/>
            <w:vAlign w:val="center"/>
          </w:tcPr>
          <w:p w14:paraId="7020BC5F">
            <w:pPr>
              <w:jc w:val="center"/>
              <w:rPr>
                <w:rFonts w:hint="eastAsia" w:ascii="宋体" w:hAnsi="宋体" w:cs="宋体"/>
                <w:sz w:val="22"/>
                <w:szCs w:val="22"/>
              </w:rPr>
            </w:pPr>
            <w:r>
              <w:rPr>
                <w:rFonts w:hint="eastAsia" w:ascii="宋体" w:hAnsi="宋体" w:cs="宋体"/>
                <w:sz w:val="22"/>
                <w:szCs w:val="22"/>
              </w:rPr>
              <w:t>钢质门</w:t>
            </w:r>
          </w:p>
        </w:tc>
        <w:tc>
          <w:tcPr>
            <w:tcW w:w="5720" w:type="dxa"/>
            <w:noWrap w:val="0"/>
            <w:vAlign w:val="center"/>
          </w:tcPr>
          <w:p w14:paraId="2FCCD302">
            <w:pPr>
              <w:jc w:val="center"/>
              <w:rPr>
                <w:rFonts w:hint="eastAsia" w:ascii="宋体" w:hAnsi="宋体" w:cs="宋体"/>
                <w:sz w:val="22"/>
                <w:szCs w:val="22"/>
              </w:rPr>
            </w:pPr>
            <w:r>
              <w:rPr>
                <w:rFonts w:hint="eastAsia" w:ascii="宋体" w:hAnsi="宋体" w:cs="宋体"/>
                <w:sz w:val="22"/>
                <w:szCs w:val="22"/>
              </w:rPr>
              <w:t>润成创展、豪威尔、华衍</w:t>
            </w:r>
          </w:p>
        </w:tc>
      </w:tr>
      <w:tr w14:paraId="6D728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34647D18">
            <w:pPr>
              <w:spacing w:line="400" w:lineRule="exact"/>
              <w:jc w:val="center"/>
              <w:rPr>
                <w:rFonts w:hint="eastAsia" w:ascii="宋体" w:hAnsi="宋体" w:cs="宋体"/>
                <w:sz w:val="22"/>
                <w:szCs w:val="22"/>
              </w:rPr>
            </w:pPr>
            <w:r>
              <w:rPr>
                <w:rFonts w:hint="eastAsia" w:ascii="宋体" w:hAnsi="宋体" w:cs="宋体"/>
                <w:sz w:val="22"/>
                <w:szCs w:val="22"/>
              </w:rPr>
              <w:t>26</w:t>
            </w:r>
          </w:p>
        </w:tc>
        <w:tc>
          <w:tcPr>
            <w:tcW w:w="2127" w:type="dxa"/>
            <w:noWrap w:val="0"/>
            <w:vAlign w:val="center"/>
          </w:tcPr>
          <w:p w14:paraId="6BA2591A">
            <w:pPr>
              <w:adjustRightInd w:val="0"/>
              <w:snapToGrid w:val="0"/>
              <w:jc w:val="center"/>
              <w:rPr>
                <w:rFonts w:hint="eastAsia" w:ascii="宋体" w:hAnsi="宋体" w:cs="宋体"/>
                <w:sz w:val="22"/>
                <w:szCs w:val="22"/>
              </w:rPr>
            </w:pPr>
            <w:r>
              <w:rPr>
                <w:rFonts w:hint="eastAsia" w:ascii="宋体" w:hAnsi="宋体" w:cs="宋体"/>
                <w:sz w:val="22"/>
                <w:szCs w:val="22"/>
              </w:rPr>
              <w:t>净化钢制门</w:t>
            </w:r>
          </w:p>
        </w:tc>
        <w:tc>
          <w:tcPr>
            <w:tcW w:w="5720" w:type="dxa"/>
            <w:noWrap w:val="0"/>
            <w:vAlign w:val="center"/>
          </w:tcPr>
          <w:p w14:paraId="236CD077">
            <w:pPr>
              <w:jc w:val="center"/>
              <w:rPr>
                <w:rFonts w:ascii="宋体" w:hAnsi="宋体" w:cs="宋体"/>
                <w:sz w:val="22"/>
                <w:szCs w:val="22"/>
              </w:rPr>
            </w:pPr>
            <w:r>
              <w:rPr>
                <w:rFonts w:hint="eastAsia" w:ascii="宋体" w:hAnsi="宋体" w:cs="宋体"/>
                <w:sz w:val="22"/>
                <w:szCs w:val="22"/>
              </w:rPr>
              <w:t>雅宁、巨星、欧尼克</w:t>
            </w:r>
          </w:p>
        </w:tc>
      </w:tr>
      <w:tr w14:paraId="6E9BE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361967A5">
            <w:pPr>
              <w:spacing w:line="400" w:lineRule="exact"/>
              <w:jc w:val="center"/>
              <w:rPr>
                <w:rFonts w:hint="eastAsia" w:ascii="宋体" w:hAnsi="宋体" w:cs="宋体"/>
                <w:sz w:val="22"/>
                <w:szCs w:val="22"/>
              </w:rPr>
            </w:pPr>
            <w:r>
              <w:rPr>
                <w:rFonts w:hint="eastAsia" w:ascii="宋体" w:hAnsi="宋体" w:cs="宋体"/>
                <w:sz w:val="22"/>
                <w:szCs w:val="22"/>
              </w:rPr>
              <w:t>27</w:t>
            </w:r>
          </w:p>
        </w:tc>
        <w:tc>
          <w:tcPr>
            <w:tcW w:w="2127" w:type="dxa"/>
            <w:noWrap w:val="0"/>
            <w:vAlign w:val="center"/>
          </w:tcPr>
          <w:p w14:paraId="6774F154">
            <w:pPr>
              <w:adjustRightInd w:val="0"/>
              <w:snapToGrid w:val="0"/>
              <w:jc w:val="center"/>
              <w:rPr>
                <w:rFonts w:hint="eastAsia" w:ascii="宋体" w:hAnsi="宋体" w:cs="宋体"/>
                <w:sz w:val="22"/>
                <w:szCs w:val="22"/>
              </w:rPr>
            </w:pPr>
            <w:r>
              <w:rPr>
                <w:rFonts w:hint="eastAsia" w:ascii="宋体" w:hAnsi="宋体" w:cs="宋体"/>
                <w:sz w:val="22"/>
                <w:szCs w:val="22"/>
              </w:rPr>
              <w:t>防辐射门</w:t>
            </w:r>
          </w:p>
        </w:tc>
        <w:tc>
          <w:tcPr>
            <w:tcW w:w="5720" w:type="dxa"/>
            <w:noWrap w:val="0"/>
            <w:vAlign w:val="center"/>
          </w:tcPr>
          <w:p w14:paraId="7A31C40C">
            <w:pPr>
              <w:jc w:val="center"/>
              <w:rPr>
                <w:rFonts w:ascii="宋体" w:hAnsi="宋体" w:cs="宋体"/>
                <w:sz w:val="22"/>
                <w:szCs w:val="22"/>
              </w:rPr>
            </w:pPr>
            <w:r>
              <w:rPr>
                <w:rFonts w:hint="eastAsia" w:ascii="宋体" w:hAnsi="宋体" w:cs="宋体"/>
                <w:sz w:val="22"/>
                <w:szCs w:val="22"/>
              </w:rPr>
              <w:t>凯瑞特、欧尼克、巨星</w:t>
            </w:r>
          </w:p>
        </w:tc>
      </w:tr>
      <w:tr w14:paraId="27665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5D375E51">
            <w:pPr>
              <w:spacing w:line="400" w:lineRule="exact"/>
              <w:jc w:val="center"/>
              <w:rPr>
                <w:rFonts w:hint="eastAsia" w:ascii="宋体" w:hAnsi="宋体" w:cs="宋体"/>
                <w:sz w:val="22"/>
                <w:szCs w:val="22"/>
              </w:rPr>
            </w:pPr>
            <w:r>
              <w:rPr>
                <w:rFonts w:hint="eastAsia" w:ascii="宋体" w:hAnsi="宋体" w:cs="宋体"/>
                <w:sz w:val="22"/>
                <w:szCs w:val="22"/>
              </w:rPr>
              <w:t>28</w:t>
            </w:r>
          </w:p>
        </w:tc>
        <w:tc>
          <w:tcPr>
            <w:tcW w:w="2127" w:type="dxa"/>
            <w:noWrap w:val="0"/>
            <w:vAlign w:val="center"/>
          </w:tcPr>
          <w:p w14:paraId="4D36A8F4">
            <w:pPr>
              <w:jc w:val="center"/>
              <w:rPr>
                <w:rFonts w:hint="eastAsia" w:ascii="宋体" w:hAnsi="宋体" w:cs="宋体"/>
                <w:sz w:val="22"/>
                <w:szCs w:val="22"/>
              </w:rPr>
            </w:pPr>
            <w:r>
              <w:rPr>
                <w:rFonts w:hint="eastAsia" w:ascii="宋体" w:hAnsi="宋体" w:cs="宋体"/>
                <w:sz w:val="22"/>
                <w:szCs w:val="22"/>
              </w:rPr>
              <w:t>卫生间隔断板</w:t>
            </w:r>
          </w:p>
        </w:tc>
        <w:tc>
          <w:tcPr>
            <w:tcW w:w="5720" w:type="dxa"/>
            <w:noWrap w:val="0"/>
            <w:vAlign w:val="center"/>
          </w:tcPr>
          <w:p w14:paraId="115BD08D">
            <w:pPr>
              <w:jc w:val="center"/>
              <w:rPr>
                <w:rFonts w:hint="eastAsia" w:ascii="宋体" w:hAnsi="宋体" w:cs="宋体"/>
                <w:sz w:val="22"/>
                <w:szCs w:val="22"/>
              </w:rPr>
            </w:pPr>
            <w:r>
              <w:rPr>
                <w:rFonts w:hint="eastAsia" w:ascii="宋体" w:hAnsi="宋体" w:cs="宋体"/>
                <w:sz w:val="22"/>
                <w:szCs w:val="22"/>
              </w:rPr>
              <w:t>富美家、千思、威盛亚</w:t>
            </w:r>
          </w:p>
        </w:tc>
      </w:tr>
      <w:tr w14:paraId="668F4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087DE006">
            <w:pPr>
              <w:spacing w:line="400" w:lineRule="exact"/>
              <w:jc w:val="center"/>
              <w:rPr>
                <w:rFonts w:hint="eastAsia" w:ascii="宋体" w:hAnsi="宋体" w:cs="宋体"/>
                <w:sz w:val="22"/>
                <w:szCs w:val="22"/>
              </w:rPr>
            </w:pPr>
            <w:r>
              <w:rPr>
                <w:rFonts w:hint="eastAsia" w:ascii="宋体" w:hAnsi="宋体" w:cs="宋体"/>
                <w:sz w:val="22"/>
                <w:szCs w:val="22"/>
              </w:rPr>
              <w:t>29</w:t>
            </w:r>
          </w:p>
        </w:tc>
        <w:tc>
          <w:tcPr>
            <w:tcW w:w="2127" w:type="dxa"/>
            <w:noWrap w:val="0"/>
            <w:vAlign w:val="center"/>
          </w:tcPr>
          <w:p w14:paraId="2A18C252">
            <w:pPr>
              <w:adjustRightInd w:val="0"/>
              <w:snapToGrid w:val="0"/>
              <w:jc w:val="center"/>
              <w:rPr>
                <w:rFonts w:hint="eastAsia" w:ascii="宋体" w:hAnsi="宋体" w:cs="宋体"/>
                <w:sz w:val="22"/>
                <w:szCs w:val="22"/>
              </w:rPr>
            </w:pPr>
            <w:r>
              <w:rPr>
                <w:rFonts w:hint="eastAsia" w:ascii="宋体" w:hAnsi="宋体" w:cs="宋体"/>
                <w:sz w:val="22"/>
                <w:szCs w:val="22"/>
              </w:rPr>
              <w:t>气密门</w:t>
            </w:r>
          </w:p>
        </w:tc>
        <w:tc>
          <w:tcPr>
            <w:tcW w:w="5720" w:type="dxa"/>
            <w:noWrap w:val="0"/>
            <w:vAlign w:val="center"/>
          </w:tcPr>
          <w:p w14:paraId="4321595B">
            <w:pPr>
              <w:jc w:val="center"/>
              <w:rPr>
                <w:rFonts w:hint="eastAsia" w:ascii="宋体" w:hAnsi="宋体" w:cs="宋体"/>
                <w:sz w:val="22"/>
                <w:szCs w:val="22"/>
              </w:rPr>
            </w:pPr>
            <w:r>
              <w:rPr>
                <w:rFonts w:hint="eastAsia" w:ascii="宋体" w:hAnsi="宋体" w:cs="宋体"/>
                <w:sz w:val="22"/>
                <w:szCs w:val="22"/>
              </w:rPr>
              <w:t>鹏驰、凯瑞特、雅宁</w:t>
            </w:r>
          </w:p>
        </w:tc>
      </w:tr>
      <w:tr w14:paraId="02999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15BE888C">
            <w:pPr>
              <w:spacing w:line="400" w:lineRule="exact"/>
              <w:jc w:val="center"/>
              <w:rPr>
                <w:rFonts w:hint="eastAsia" w:ascii="宋体" w:hAnsi="宋体" w:cs="宋体"/>
                <w:sz w:val="22"/>
                <w:szCs w:val="22"/>
              </w:rPr>
            </w:pPr>
            <w:r>
              <w:rPr>
                <w:rFonts w:hint="eastAsia" w:ascii="宋体" w:hAnsi="宋体" w:cs="宋体"/>
                <w:sz w:val="22"/>
                <w:szCs w:val="22"/>
              </w:rPr>
              <w:t>30</w:t>
            </w:r>
          </w:p>
        </w:tc>
        <w:tc>
          <w:tcPr>
            <w:tcW w:w="2127" w:type="dxa"/>
            <w:noWrap w:val="0"/>
            <w:vAlign w:val="center"/>
          </w:tcPr>
          <w:p w14:paraId="37A98D9B">
            <w:pPr>
              <w:jc w:val="center"/>
              <w:rPr>
                <w:rFonts w:hint="eastAsia" w:ascii="宋体" w:hAnsi="宋体" w:cs="宋体"/>
                <w:sz w:val="22"/>
                <w:szCs w:val="22"/>
              </w:rPr>
            </w:pPr>
            <w:r>
              <w:rPr>
                <w:rFonts w:hint="eastAsia" w:ascii="宋体" w:hAnsi="宋体" w:cs="宋体"/>
                <w:sz w:val="22"/>
                <w:szCs w:val="22"/>
              </w:rPr>
              <w:t>地毯</w:t>
            </w:r>
          </w:p>
        </w:tc>
        <w:tc>
          <w:tcPr>
            <w:tcW w:w="5720" w:type="dxa"/>
            <w:noWrap w:val="0"/>
            <w:vAlign w:val="center"/>
          </w:tcPr>
          <w:p w14:paraId="42546698">
            <w:pPr>
              <w:jc w:val="center"/>
              <w:rPr>
                <w:rFonts w:hint="eastAsia" w:ascii="宋体" w:hAnsi="宋体" w:cs="宋体"/>
                <w:sz w:val="22"/>
                <w:szCs w:val="22"/>
              </w:rPr>
            </w:pPr>
            <w:r>
              <w:rPr>
                <w:rFonts w:hint="eastAsia" w:ascii="宋体" w:hAnsi="宋体" w:cs="宋体"/>
                <w:sz w:val="22"/>
                <w:szCs w:val="22"/>
              </w:rPr>
              <w:t>海马、英特飞、萧氏</w:t>
            </w:r>
          </w:p>
        </w:tc>
      </w:tr>
      <w:tr w14:paraId="649D4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45D7B752">
            <w:pPr>
              <w:spacing w:line="400" w:lineRule="exact"/>
              <w:jc w:val="center"/>
              <w:rPr>
                <w:rFonts w:hint="eastAsia" w:ascii="宋体" w:hAnsi="宋体" w:cs="宋体"/>
                <w:sz w:val="22"/>
                <w:szCs w:val="22"/>
              </w:rPr>
            </w:pPr>
            <w:r>
              <w:rPr>
                <w:rFonts w:hint="eastAsia" w:ascii="宋体" w:hAnsi="宋体" w:cs="宋体"/>
                <w:sz w:val="22"/>
                <w:szCs w:val="22"/>
              </w:rPr>
              <w:t>31</w:t>
            </w:r>
          </w:p>
        </w:tc>
        <w:tc>
          <w:tcPr>
            <w:tcW w:w="2127" w:type="dxa"/>
            <w:noWrap w:val="0"/>
            <w:vAlign w:val="center"/>
          </w:tcPr>
          <w:p w14:paraId="34F3AA59">
            <w:pPr>
              <w:jc w:val="center"/>
              <w:rPr>
                <w:rFonts w:hint="eastAsia" w:ascii="宋体" w:hAnsi="宋体" w:cs="宋体"/>
                <w:sz w:val="22"/>
                <w:szCs w:val="22"/>
              </w:rPr>
            </w:pPr>
            <w:r>
              <w:rPr>
                <w:rFonts w:hint="eastAsia" w:ascii="宋体" w:hAnsi="宋体" w:cs="宋体"/>
                <w:sz w:val="22"/>
                <w:szCs w:val="22"/>
              </w:rPr>
              <w:t>PVC线管、线槽</w:t>
            </w:r>
          </w:p>
        </w:tc>
        <w:tc>
          <w:tcPr>
            <w:tcW w:w="5720" w:type="dxa"/>
            <w:noWrap w:val="0"/>
            <w:vAlign w:val="center"/>
          </w:tcPr>
          <w:p w14:paraId="3E47DE65">
            <w:pPr>
              <w:jc w:val="center"/>
              <w:rPr>
                <w:rFonts w:ascii="宋体" w:hAnsi="宋体" w:cs="宋体"/>
                <w:sz w:val="22"/>
                <w:szCs w:val="22"/>
              </w:rPr>
            </w:pPr>
            <w:r>
              <w:rPr>
                <w:rFonts w:hint="eastAsia" w:ascii="宋体" w:hAnsi="宋体" w:cs="宋体"/>
                <w:sz w:val="22"/>
                <w:szCs w:val="22"/>
              </w:rPr>
              <w:t>联塑、伟业、伟星</w:t>
            </w:r>
          </w:p>
        </w:tc>
      </w:tr>
      <w:tr w14:paraId="0DF12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37B29D5B">
            <w:pPr>
              <w:spacing w:line="400" w:lineRule="exact"/>
              <w:jc w:val="center"/>
              <w:rPr>
                <w:rFonts w:hint="eastAsia" w:ascii="宋体" w:hAnsi="宋体" w:cs="宋体"/>
                <w:sz w:val="22"/>
                <w:szCs w:val="22"/>
              </w:rPr>
            </w:pPr>
            <w:r>
              <w:rPr>
                <w:rFonts w:hint="eastAsia" w:ascii="宋体" w:hAnsi="宋体" w:cs="宋体"/>
                <w:sz w:val="22"/>
                <w:szCs w:val="22"/>
              </w:rPr>
              <w:t>32</w:t>
            </w:r>
          </w:p>
        </w:tc>
        <w:tc>
          <w:tcPr>
            <w:tcW w:w="2127" w:type="dxa"/>
            <w:noWrap w:val="0"/>
            <w:vAlign w:val="center"/>
          </w:tcPr>
          <w:p w14:paraId="1E4F01CF">
            <w:pPr>
              <w:jc w:val="center"/>
              <w:rPr>
                <w:rFonts w:hint="eastAsia" w:ascii="宋体" w:hAnsi="宋体" w:cs="宋体"/>
                <w:sz w:val="22"/>
                <w:szCs w:val="22"/>
              </w:rPr>
            </w:pPr>
            <w:r>
              <w:rPr>
                <w:rFonts w:hint="eastAsia" w:ascii="宋体" w:hAnsi="宋体" w:cs="宋体"/>
                <w:sz w:val="22"/>
                <w:szCs w:val="22"/>
              </w:rPr>
              <w:t>桥架</w:t>
            </w:r>
          </w:p>
        </w:tc>
        <w:tc>
          <w:tcPr>
            <w:tcW w:w="5720" w:type="dxa"/>
            <w:noWrap w:val="0"/>
            <w:vAlign w:val="center"/>
          </w:tcPr>
          <w:p w14:paraId="65794F8F">
            <w:pPr>
              <w:jc w:val="center"/>
              <w:rPr>
                <w:rFonts w:hint="eastAsia" w:ascii="宋体" w:hAnsi="宋体" w:cs="宋体"/>
                <w:sz w:val="22"/>
                <w:szCs w:val="22"/>
              </w:rPr>
            </w:pPr>
            <w:r>
              <w:rPr>
                <w:rFonts w:hint="eastAsia" w:ascii="宋体" w:hAnsi="宋体" w:cs="宋体"/>
                <w:sz w:val="22"/>
                <w:szCs w:val="22"/>
              </w:rPr>
              <w:t>大全DAQO、万奇QNEQ、有能电气</w:t>
            </w:r>
          </w:p>
        </w:tc>
      </w:tr>
      <w:tr w14:paraId="538E2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44F5AEA3">
            <w:pPr>
              <w:spacing w:line="400" w:lineRule="exact"/>
              <w:jc w:val="center"/>
              <w:rPr>
                <w:rFonts w:hint="eastAsia" w:ascii="宋体" w:hAnsi="宋体" w:cs="宋体"/>
                <w:sz w:val="22"/>
                <w:szCs w:val="22"/>
              </w:rPr>
            </w:pPr>
            <w:r>
              <w:rPr>
                <w:rFonts w:hint="eastAsia" w:ascii="宋体" w:hAnsi="宋体" w:cs="宋体"/>
                <w:sz w:val="22"/>
                <w:szCs w:val="22"/>
              </w:rPr>
              <w:t>33</w:t>
            </w:r>
          </w:p>
        </w:tc>
        <w:tc>
          <w:tcPr>
            <w:tcW w:w="2127" w:type="dxa"/>
            <w:noWrap w:val="0"/>
            <w:vAlign w:val="center"/>
          </w:tcPr>
          <w:p w14:paraId="1E659BCB">
            <w:pPr>
              <w:jc w:val="center"/>
              <w:rPr>
                <w:rFonts w:hint="eastAsia" w:ascii="宋体" w:hAnsi="宋体" w:cs="宋体"/>
                <w:sz w:val="22"/>
                <w:szCs w:val="22"/>
              </w:rPr>
            </w:pPr>
            <w:r>
              <w:rPr>
                <w:rFonts w:hint="eastAsia" w:ascii="宋体" w:hAnsi="宋体" w:cs="宋体"/>
                <w:sz w:val="22"/>
                <w:szCs w:val="22"/>
              </w:rPr>
              <w:t>热镀锌导线管</w:t>
            </w:r>
          </w:p>
        </w:tc>
        <w:tc>
          <w:tcPr>
            <w:tcW w:w="5720" w:type="dxa"/>
            <w:noWrap w:val="0"/>
            <w:vAlign w:val="center"/>
          </w:tcPr>
          <w:p w14:paraId="13B199C6">
            <w:pPr>
              <w:jc w:val="center"/>
              <w:rPr>
                <w:rFonts w:hint="eastAsia" w:ascii="宋体" w:hAnsi="宋体" w:cs="宋体"/>
                <w:sz w:val="22"/>
                <w:szCs w:val="22"/>
              </w:rPr>
            </w:pPr>
            <w:r>
              <w:rPr>
                <w:rFonts w:hint="eastAsia" w:ascii="宋体" w:hAnsi="宋体" w:cs="宋体"/>
                <w:sz w:val="22"/>
                <w:szCs w:val="22"/>
              </w:rPr>
              <w:t>广州文兴、番禺天虹、中山华通</w:t>
            </w:r>
          </w:p>
        </w:tc>
      </w:tr>
      <w:tr w14:paraId="52103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58E38C7E">
            <w:pPr>
              <w:spacing w:line="400" w:lineRule="exact"/>
              <w:jc w:val="center"/>
              <w:rPr>
                <w:rFonts w:hint="eastAsia" w:ascii="宋体" w:hAnsi="宋体" w:cs="宋体"/>
                <w:sz w:val="22"/>
                <w:szCs w:val="22"/>
              </w:rPr>
            </w:pPr>
            <w:r>
              <w:rPr>
                <w:rFonts w:hint="eastAsia" w:ascii="宋体" w:hAnsi="宋体" w:cs="宋体"/>
                <w:sz w:val="22"/>
                <w:szCs w:val="22"/>
              </w:rPr>
              <w:t>34</w:t>
            </w:r>
          </w:p>
        </w:tc>
        <w:tc>
          <w:tcPr>
            <w:tcW w:w="2127" w:type="dxa"/>
            <w:noWrap w:val="0"/>
            <w:vAlign w:val="center"/>
          </w:tcPr>
          <w:p w14:paraId="2A10316E">
            <w:pPr>
              <w:jc w:val="center"/>
              <w:rPr>
                <w:rFonts w:hint="eastAsia" w:ascii="宋体" w:hAnsi="宋体" w:cs="宋体"/>
                <w:sz w:val="22"/>
                <w:szCs w:val="22"/>
              </w:rPr>
            </w:pPr>
            <w:r>
              <w:rPr>
                <w:rFonts w:hint="eastAsia" w:ascii="宋体" w:hAnsi="宋体" w:cs="宋体"/>
                <w:sz w:val="22"/>
                <w:szCs w:val="22"/>
              </w:rPr>
              <w:t>五金配件，工具用品</w:t>
            </w:r>
          </w:p>
        </w:tc>
        <w:tc>
          <w:tcPr>
            <w:tcW w:w="5720" w:type="dxa"/>
            <w:noWrap w:val="0"/>
            <w:vAlign w:val="center"/>
          </w:tcPr>
          <w:p w14:paraId="0354316C">
            <w:pPr>
              <w:jc w:val="center"/>
              <w:rPr>
                <w:rFonts w:hint="eastAsia" w:ascii="宋体" w:hAnsi="宋体" w:cs="宋体"/>
                <w:sz w:val="22"/>
                <w:szCs w:val="22"/>
              </w:rPr>
            </w:pPr>
            <w:r>
              <w:rPr>
                <w:rFonts w:hint="eastAsia" w:ascii="宋体" w:hAnsi="宋体" w:cs="宋体"/>
                <w:sz w:val="22"/>
                <w:szCs w:val="22"/>
              </w:rPr>
              <w:t>史丹利、博士、霍夫曼、科麦斯</w:t>
            </w:r>
          </w:p>
        </w:tc>
      </w:tr>
      <w:tr w14:paraId="6F9D2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675" w:type="dxa"/>
            <w:noWrap w:val="0"/>
            <w:vAlign w:val="center"/>
          </w:tcPr>
          <w:p w14:paraId="67FE4080">
            <w:pPr>
              <w:spacing w:line="400" w:lineRule="exact"/>
              <w:jc w:val="center"/>
              <w:rPr>
                <w:rFonts w:hint="eastAsia" w:ascii="宋体" w:hAnsi="宋体" w:cs="宋体"/>
                <w:sz w:val="22"/>
                <w:szCs w:val="22"/>
              </w:rPr>
            </w:pPr>
            <w:r>
              <w:rPr>
                <w:rFonts w:hint="eastAsia" w:ascii="宋体" w:hAnsi="宋体" w:cs="宋体"/>
                <w:sz w:val="22"/>
                <w:szCs w:val="22"/>
              </w:rPr>
              <w:t>35</w:t>
            </w:r>
          </w:p>
        </w:tc>
        <w:tc>
          <w:tcPr>
            <w:tcW w:w="2127" w:type="dxa"/>
            <w:noWrap w:val="0"/>
            <w:vAlign w:val="center"/>
          </w:tcPr>
          <w:p w14:paraId="69FD21F4">
            <w:pPr>
              <w:jc w:val="center"/>
              <w:rPr>
                <w:rFonts w:hint="eastAsia" w:ascii="宋体" w:hAnsi="宋体" w:cs="宋体"/>
                <w:sz w:val="22"/>
                <w:szCs w:val="22"/>
              </w:rPr>
            </w:pPr>
            <w:r>
              <w:rPr>
                <w:rFonts w:hint="eastAsia" w:ascii="宋体" w:hAnsi="宋体" w:cs="宋体"/>
                <w:sz w:val="22"/>
                <w:szCs w:val="22"/>
              </w:rPr>
              <w:t>排气扇</w:t>
            </w:r>
          </w:p>
        </w:tc>
        <w:tc>
          <w:tcPr>
            <w:tcW w:w="5720" w:type="dxa"/>
            <w:noWrap w:val="0"/>
            <w:vAlign w:val="center"/>
          </w:tcPr>
          <w:p w14:paraId="041A05DD">
            <w:pPr>
              <w:jc w:val="center"/>
              <w:rPr>
                <w:rFonts w:hint="eastAsia" w:ascii="宋体" w:hAnsi="宋体" w:cs="宋体"/>
                <w:sz w:val="22"/>
                <w:szCs w:val="22"/>
              </w:rPr>
            </w:pPr>
            <w:r>
              <w:rPr>
                <w:rFonts w:hint="eastAsia" w:ascii="宋体" w:hAnsi="宋体" w:cs="宋体"/>
                <w:sz w:val="22"/>
                <w:szCs w:val="22"/>
              </w:rPr>
              <w:t>正野、松下、美的</w:t>
            </w:r>
          </w:p>
        </w:tc>
      </w:tr>
      <w:tr w14:paraId="7097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5A2B05EC">
            <w:pPr>
              <w:spacing w:line="400" w:lineRule="exact"/>
              <w:jc w:val="center"/>
              <w:rPr>
                <w:rFonts w:hint="eastAsia" w:ascii="宋体" w:hAnsi="宋体" w:cs="宋体"/>
                <w:sz w:val="22"/>
                <w:szCs w:val="22"/>
              </w:rPr>
            </w:pPr>
            <w:r>
              <w:rPr>
                <w:rFonts w:hint="eastAsia" w:ascii="宋体" w:hAnsi="宋体" w:cs="宋体"/>
                <w:sz w:val="22"/>
                <w:szCs w:val="22"/>
              </w:rPr>
              <w:t>36</w:t>
            </w:r>
          </w:p>
        </w:tc>
        <w:tc>
          <w:tcPr>
            <w:tcW w:w="2127" w:type="dxa"/>
            <w:noWrap w:val="0"/>
            <w:vAlign w:val="center"/>
          </w:tcPr>
          <w:p w14:paraId="59AD8EBA">
            <w:pPr>
              <w:jc w:val="center"/>
              <w:rPr>
                <w:rFonts w:hint="eastAsia" w:ascii="宋体" w:hAnsi="宋体" w:cs="宋体"/>
                <w:sz w:val="22"/>
                <w:szCs w:val="22"/>
              </w:rPr>
            </w:pPr>
            <w:r>
              <w:rPr>
                <w:rFonts w:hint="eastAsia" w:ascii="宋体" w:hAnsi="宋体" w:cs="宋体"/>
                <w:sz w:val="22"/>
                <w:szCs w:val="22"/>
              </w:rPr>
              <w:t>烟感</w:t>
            </w:r>
          </w:p>
        </w:tc>
        <w:tc>
          <w:tcPr>
            <w:tcW w:w="5720" w:type="dxa"/>
            <w:noWrap w:val="0"/>
            <w:vAlign w:val="center"/>
          </w:tcPr>
          <w:p w14:paraId="00B11B2C">
            <w:pPr>
              <w:jc w:val="center"/>
              <w:rPr>
                <w:rFonts w:ascii="宋体" w:hAnsi="宋体" w:cs="宋体"/>
                <w:sz w:val="22"/>
                <w:szCs w:val="22"/>
              </w:rPr>
            </w:pPr>
            <w:r>
              <w:rPr>
                <w:rFonts w:hint="eastAsia" w:ascii="宋体" w:hAnsi="宋体" w:cs="宋体"/>
                <w:sz w:val="22"/>
                <w:szCs w:val="22"/>
              </w:rPr>
              <w:t>西门子、三江、青鸟</w:t>
            </w:r>
          </w:p>
        </w:tc>
      </w:tr>
      <w:tr w14:paraId="1FE89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675" w:type="dxa"/>
            <w:noWrap w:val="0"/>
            <w:vAlign w:val="center"/>
          </w:tcPr>
          <w:p w14:paraId="4B6A5804">
            <w:pPr>
              <w:spacing w:line="400" w:lineRule="exact"/>
              <w:jc w:val="center"/>
              <w:rPr>
                <w:rFonts w:hint="eastAsia" w:ascii="宋体" w:hAnsi="宋体" w:cs="宋体"/>
                <w:sz w:val="22"/>
                <w:szCs w:val="22"/>
              </w:rPr>
            </w:pPr>
            <w:r>
              <w:rPr>
                <w:rFonts w:hint="eastAsia" w:ascii="宋体" w:hAnsi="宋体" w:cs="宋体"/>
                <w:sz w:val="22"/>
                <w:szCs w:val="22"/>
              </w:rPr>
              <w:t>37</w:t>
            </w:r>
          </w:p>
        </w:tc>
        <w:tc>
          <w:tcPr>
            <w:tcW w:w="2127" w:type="dxa"/>
            <w:noWrap w:val="0"/>
            <w:vAlign w:val="center"/>
          </w:tcPr>
          <w:p w14:paraId="5C36F6AC">
            <w:pPr>
              <w:jc w:val="center"/>
              <w:rPr>
                <w:rFonts w:hint="eastAsia" w:ascii="宋体" w:hAnsi="宋体" w:cs="宋体"/>
                <w:sz w:val="22"/>
                <w:szCs w:val="22"/>
              </w:rPr>
            </w:pPr>
            <w:r>
              <w:rPr>
                <w:rFonts w:hint="eastAsia" w:ascii="宋体" w:hAnsi="宋体" w:cs="宋体"/>
                <w:sz w:val="22"/>
                <w:szCs w:val="22"/>
              </w:rPr>
              <w:t>石材（天然、人造）</w:t>
            </w:r>
          </w:p>
        </w:tc>
        <w:tc>
          <w:tcPr>
            <w:tcW w:w="5720" w:type="dxa"/>
            <w:noWrap w:val="0"/>
            <w:vAlign w:val="center"/>
          </w:tcPr>
          <w:p w14:paraId="7F6A9FE4">
            <w:pPr>
              <w:jc w:val="center"/>
              <w:rPr>
                <w:rFonts w:ascii="宋体" w:hAnsi="宋体" w:cs="宋体"/>
                <w:sz w:val="22"/>
                <w:szCs w:val="22"/>
              </w:rPr>
            </w:pPr>
            <w:r>
              <w:rPr>
                <w:rFonts w:hint="eastAsia" w:ascii="宋体" w:hAnsi="宋体" w:cs="宋体"/>
                <w:sz w:val="22"/>
                <w:szCs w:val="22"/>
              </w:rPr>
              <w:t>庆泰、宗艺、尚云、北辰</w:t>
            </w:r>
          </w:p>
        </w:tc>
      </w:tr>
      <w:tr w14:paraId="7D185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675" w:type="dxa"/>
            <w:noWrap w:val="0"/>
            <w:vAlign w:val="center"/>
          </w:tcPr>
          <w:p w14:paraId="41543C21">
            <w:pPr>
              <w:spacing w:line="400" w:lineRule="exact"/>
              <w:jc w:val="center"/>
              <w:rPr>
                <w:rFonts w:hint="eastAsia" w:ascii="宋体" w:hAnsi="宋体" w:cs="宋体"/>
                <w:sz w:val="22"/>
                <w:szCs w:val="22"/>
              </w:rPr>
            </w:pPr>
            <w:r>
              <w:rPr>
                <w:rFonts w:hint="eastAsia" w:ascii="宋体" w:hAnsi="宋体" w:cs="宋体"/>
                <w:sz w:val="22"/>
                <w:szCs w:val="22"/>
              </w:rPr>
              <w:t>38</w:t>
            </w:r>
          </w:p>
        </w:tc>
        <w:tc>
          <w:tcPr>
            <w:tcW w:w="2127" w:type="dxa"/>
            <w:noWrap w:val="0"/>
            <w:vAlign w:val="center"/>
          </w:tcPr>
          <w:p w14:paraId="405AE822">
            <w:pPr>
              <w:jc w:val="center"/>
              <w:rPr>
                <w:rFonts w:hint="eastAsia" w:ascii="宋体" w:hAnsi="宋体" w:cs="宋体"/>
                <w:sz w:val="22"/>
                <w:szCs w:val="22"/>
              </w:rPr>
            </w:pPr>
            <w:r>
              <w:rPr>
                <w:rFonts w:hint="eastAsia" w:ascii="宋体" w:hAnsi="宋体" w:cs="宋体"/>
                <w:sz w:val="22"/>
                <w:szCs w:val="22"/>
              </w:rPr>
              <w:t>水磨石（环氧、无机）</w:t>
            </w:r>
          </w:p>
        </w:tc>
        <w:tc>
          <w:tcPr>
            <w:tcW w:w="5720" w:type="dxa"/>
            <w:noWrap w:val="0"/>
            <w:vAlign w:val="center"/>
          </w:tcPr>
          <w:p w14:paraId="0FC1884A">
            <w:pPr>
              <w:jc w:val="center"/>
              <w:rPr>
                <w:rFonts w:hint="eastAsia" w:ascii="宋体" w:hAnsi="宋体" w:cs="宋体"/>
                <w:sz w:val="22"/>
                <w:szCs w:val="22"/>
              </w:rPr>
            </w:pPr>
            <w:r>
              <w:rPr>
                <w:rFonts w:hint="eastAsia" w:ascii="宋体" w:hAnsi="宋体" w:cs="宋体"/>
                <w:sz w:val="22"/>
                <w:szCs w:val="22"/>
              </w:rPr>
              <w:t>鹏翔、华宝、西玛泰、新飞达</w:t>
            </w:r>
          </w:p>
        </w:tc>
      </w:tr>
      <w:tr w14:paraId="7FCBB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75" w:type="dxa"/>
            <w:noWrap w:val="0"/>
            <w:vAlign w:val="center"/>
          </w:tcPr>
          <w:p w14:paraId="5525C732">
            <w:pPr>
              <w:spacing w:line="400" w:lineRule="exact"/>
              <w:jc w:val="center"/>
              <w:rPr>
                <w:rFonts w:hint="eastAsia" w:ascii="宋体" w:hAnsi="宋体" w:cs="宋体"/>
                <w:sz w:val="22"/>
                <w:szCs w:val="22"/>
              </w:rPr>
            </w:pPr>
            <w:r>
              <w:rPr>
                <w:rFonts w:hint="eastAsia" w:ascii="宋体" w:hAnsi="宋体" w:cs="宋体"/>
                <w:sz w:val="22"/>
                <w:szCs w:val="22"/>
              </w:rPr>
              <w:t>39</w:t>
            </w:r>
          </w:p>
        </w:tc>
        <w:tc>
          <w:tcPr>
            <w:tcW w:w="2127" w:type="dxa"/>
            <w:noWrap w:val="0"/>
            <w:vAlign w:val="center"/>
          </w:tcPr>
          <w:p w14:paraId="7557BBEF">
            <w:pPr>
              <w:jc w:val="center"/>
              <w:rPr>
                <w:rFonts w:hint="eastAsia" w:ascii="宋体" w:hAnsi="宋体" w:cs="宋体"/>
                <w:sz w:val="22"/>
                <w:szCs w:val="22"/>
              </w:rPr>
            </w:pPr>
            <w:r>
              <w:rPr>
                <w:rFonts w:hint="eastAsia" w:ascii="宋体" w:hAnsi="宋体" w:cs="宋体"/>
                <w:sz w:val="22"/>
                <w:szCs w:val="22"/>
              </w:rPr>
              <w:t>岩板</w:t>
            </w:r>
          </w:p>
        </w:tc>
        <w:tc>
          <w:tcPr>
            <w:tcW w:w="5720" w:type="dxa"/>
            <w:noWrap w:val="0"/>
            <w:vAlign w:val="center"/>
          </w:tcPr>
          <w:p w14:paraId="0D001EB7">
            <w:pPr>
              <w:jc w:val="center"/>
              <w:rPr>
                <w:rFonts w:ascii="宋体" w:hAnsi="宋体" w:cs="宋体"/>
                <w:sz w:val="22"/>
                <w:szCs w:val="22"/>
              </w:rPr>
            </w:pPr>
            <w:r>
              <w:rPr>
                <w:rFonts w:hint="eastAsia" w:ascii="宋体" w:hAnsi="宋体" w:cs="宋体"/>
                <w:sz w:val="22"/>
                <w:szCs w:val="22"/>
              </w:rPr>
              <w:t>奥力、贝奈利、东鹏</w:t>
            </w:r>
          </w:p>
        </w:tc>
      </w:tr>
    </w:tbl>
    <w:p w14:paraId="1FBC943D">
      <w:pPr>
        <w:rPr>
          <w:rFonts w:hint="eastAsia" w:ascii="宋体" w:hAnsi="宋体" w:cs="宋体"/>
          <w:b/>
          <w:sz w:val="16"/>
          <w:szCs w:val="16"/>
        </w:rPr>
      </w:pPr>
    </w:p>
    <w:p w14:paraId="1C85E809">
      <w:pPr>
        <w:jc w:val="center"/>
        <w:rPr>
          <w:rFonts w:hint="eastAsia" w:ascii="宋体" w:hAnsi="宋体" w:cs="宋体"/>
          <w:b/>
          <w:sz w:val="22"/>
          <w:szCs w:val="22"/>
        </w:rPr>
      </w:pPr>
      <w:r>
        <w:rPr>
          <w:rFonts w:hint="eastAsia" w:ascii="宋体" w:hAnsi="宋体" w:cs="宋体"/>
          <w:b/>
          <w:sz w:val="22"/>
          <w:szCs w:val="22"/>
        </w:rPr>
        <w:t>强电材料设备参考品牌库</w:t>
      </w:r>
    </w:p>
    <w:tbl>
      <w:tblPr>
        <w:tblStyle w:val="9"/>
        <w:tblpPr w:leftFromText="180" w:rightFromText="180" w:vertAnchor="text" w:tblpXSpec="center" w:tblpY="1"/>
        <w:tblOverlap w:val="never"/>
        <w:tblW w:w="851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80"/>
        <w:gridCol w:w="2494"/>
        <w:gridCol w:w="5343"/>
      </w:tblGrid>
      <w:tr w14:paraId="69D5C6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0" w:type="dxa"/>
            <w:tcBorders>
              <w:top w:val="outset" w:color="auto" w:sz="6" w:space="0"/>
              <w:left w:val="outset" w:color="auto" w:sz="6" w:space="0"/>
              <w:right w:val="outset" w:color="auto" w:sz="6" w:space="0"/>
            </w:tcBorders>
            <w:noWrap w:val="0"/>
            <w:vAlign w:val="center"/>
          </w:tcPr>
          <w:p w14:paraId="1F0E7AE5">
            <w:pPr>
              <w:spacing w:line="240" w:lineRule="atLeast"/>
              <w:jc w:val="center"/>
              <w:rPr>
                <w:rFonts w:hint="eastAsia" w:ascii="宋体" w:hAnsi="宋体" w:cs="宋体"/>
                <w:b/>
                <w:sz w:val="22"/>
                <w:szCs w:val="22"/>
              </w:rPr>
            </w:pPr>
            <w:r>
              <w:rPr>
                <w:rFonts w:hint="eastAsia" w:ascii="宋体" w:hAnsi="宋体" w:cs="宋体"/>
                <w:b/>
                <w:sz w:val="22"/>
                <w:szCs w:val="22"/>
              </w:rPr>
              <w:t>编号</w:t>
            </w:r>
          </w:p>
        </w:tc>
        <w:tc>
          <w:tcPr>
            <w:tcW w:w="2494" w:type="dxa"/>
            <w:tcBorders>
              <w:top w:val="outset" w:color="auto" w:sz="6" w:space="0"/>
              <w:left w:val="outset" w:color="auto" w:sz="6" w:space="0"/>
              <w:right w:val="outset" w:color="auto" w:sz="6" w:space="0"/>
            </w:tcBorders>
            <w:noWrap w:val="0"/>
            <w:vAlign w:val="center"/>
          </w:tcPr>
          <w:p w14:paraId="1DA01186">
            <w:pPr>
              <w:spacing w:line="240" w:lineRule="atLeast"/>
              <w:jc w:val="center"/>
              <w:rPr>
                <w:rFonts w:hint="eastAsia" w:ascii="宋体" w:hAnsi="宋体" w:cs="宋体"/>
                <w:b/>
                <w:sz w:val="22"/>
                <w:szCs w:val="22"/>
              </w:rPr>
            </w:pPr>
            <w:r>
              <w:rPr>
                <w:rFonts w:hint="eastAsia" w:ascii="宋体" w:hAnsi="宋体" w:cs="宋体"/>
                <w:b/>
                <w:sz w:val="22"/>
                <w:szCs w:val="22"/>
              </w:rPr>
              <w:t>材料设备品种</w:t>
            </w:r>
          </w:p>
        </w:tc>
        <w:tc>
          <w:tcPr>
            <w:tcW w:w="5343" w:type="dxa"/>
            <w:tcBorders>
              <w:top w:val="outset" w:color="auto" w:sz="6" w:space="0"/>
              <w:left w:val="outset" w:color="auto" w:sz="6" w:space="0"/>
              <w:bottom w:val="outset" w:color="auto" w:sz="6" w:space="0"/>
              <w:right w:val="outset" w:color="auto" w:sz="6" w:space="0"/>
            </w:tcBorders>
            <w:noWrap w:val="0"/>
            <w:vAlign w:val="center"/>
          </w:tcPr>
          <w:p w14:paraId="61BDAD6D">
            <w:pPr>
              <w:jc w:val="center"/>
              <w:rPr>
                <w:rFonts w:hint="eastAsia" w:ascii="宋体" w:hAnsi="宋体" w:cs="宋体"/>
                <w:b/>
                <w:sz w:val="22"/>
                <w:szCs w:val="22"/>
              </w:rPr>
            </w:pPr>
            <w:r>
              <w:rPr>
                <w:rFonts w:hint="eastAsia" w:ascii="宋体" w:hAnsi="宋体" w:cs="宋体"/>
                <w:b/>
                <w:sz w:val="22"/>
                <w:szCs w:val="22"/>
              </w:rPr>
              <w:t>参考品牌</w:t>
            </w:r>
          </w:p>
        </w:tc>
      </w:tr>
      <w:tr w14:paraId="0E1296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0" w:type="dxa"/>
            <w:tcBorders>
              <w:top w:val="outset" w:color="auto" w:sz="6" w:space="0"/>
              <w:left w:val="outset" w:color="auto" w:sz="6" w:space="0"/>
              <w:right w:val="outset" w:color="auto" w:sz="6" w:space="0"/>
            </w:tcBorders>
            <w:noWrap w:val="0"/>
            <w:vAlign w:val="center"/>
          </w:tcPr>
          <w:p w14:paraId="51431A4E">
            <w:pPr>
              <w:spacing w:line="400" w:lineRule="exact"/>
              <w:jc w:val="center"/>
              <w:rPr>
                <w:rFonts w:hint="eastAsia" w:ascii="宋体" w:hAnsi="宋体" w:cs="宋体"/>
                <w:sz w:val="22"/>
                <w:szCs w:val="22"/>
              </w:rPr>
            </w:pPr>
            <w:r>
              <w:rPr>
                <w:rFonts w:hint="eastAsia" w:ascii="宋体" w:hAnsi="宋体" w:cs="宋体"/>
                <w:sz w:val="22"/>
                <w:szCs w:val="22"/>
              </w:rPr>
              <w:t>1</w:t>
            </w:r>
          </w:p>
        </w:tc>
        <w:tc>
          <w:tcPr>
            <w:tcW w:w="2494" w:type="dxa"/>
            <w:tcBorders>
              <w:top w:val="outset" w:color="auto" w:sz="6" w:space="0"/>
              <w:left w:val="outset" w:color="auto" w:sz="6" w:space="0"/>
              <w:right w:val="outset" w:color="auto" w:sz="6" w:space="0"/>
            </w:tcBorders>
            <w:noWrap w:val="0"/>
            <w:vAlign w:val="center"/>
          </w:tcPr>
          <w:p w14:paraId="1987B9D6">
            <w:pPr>
              <w:adjustRightInd w:val="0"/>
              <w:snapToGrid w:val="0"/>
              <w:jc w:val="center"/>
              <w:rPr>
                <w:rFonts w:hint="eastAsia" w:ascii="宋体" w:hAnsi="宋体" w:cs="宋体"/>
                <w:sz w:val="22"/>
                <w:szCs w:val="22"/>
              </w:rPr>
            </w:pPr>
            <w:r>
              <w:rPr>
                <w:rFonts w:hint="eastAsia" w:ascii="宋体" w:hAnsi="宋体" w:cs="宋体"/>
                <w:sz w:val="22"/>
                <w:szCs w:val="22"/>
              </w:rPr>
              <w:t>高压柜</w:t>
            </w:r>
          </w:p>
          <w:p w14:paraId="1046C65E">
            <w:pPr>
              <w:jc w:val="center"/>
              <w:rPr>
                <w:rFonts w:hint="eastAsia" w:ascii="宋体" w:hAnsi="宋体" w:cs="宋体"/>
                <w:sz w:val="22"/>
                <w:szCs w:val="22"/>
              </w:rPr>
            </w:pPr>
            <w:r>
              <w:rPr>
                <w:rFonts w:hint="eastAsia" w:ascii="宋体" w:hAnsi="宋体" w:cs="宋体"/>
                <w:sz w:val="22"/>
                <w:szCs w:val="22"/>
              </w:rPr>
              <w:t>（中置柜、环网柜）</w:t>
            </w:r>
          </w:p>
        </w:tc>
        <w:tc>
          <w:tcPr>
            <w:tcW w:w="5343" w:type="dxa"/>
            <w:tcBorders>
              <w:top w:val="outset" w:color="auto" w:sz="6" w:space="0"/>
              <w:left w:val="outset" w:color="auto" w:sz="6" w:space="0"/>
              <w:bottom w:val="outset" w:color="auto" w:sz="6" w:space="0"/>
              <w:right w:val="outset" w:color="auto" w:sz="6" w:space="0"/>
            </w:tcBorders>
            <w:noWrap w:val="0"/>
            <w:vAlign w:val="center"/>
          </w:tcPr>
          <w:p w14:paraId="1B756D22">
            <w:pPr>
              <w:jc w:val="center"/>
              <w:rPr>
                <w:rFonts w:hint="eastAsia" w:ascii="宋体" w:hAnsi="宋体" w:cs="宋体"/>
                <w:sz w:val="22"/>
                <w:szCs w:val="22"/>
              </w:rPr>
            </w:pPr>
            <w:r>
              <w:rPr>
                <w:rFonts w:hint="eastAsia" w:ascii="宋体" w:hAnsi="宋体" w:cs="宋体"/>
                <w:sz w:val="22"/>
                <w:szCs w:val="22"/>
              </w:rPr>
              <w:t>西门子、ABB、GE、伊顿、施耐德、华通电气、恒通电力</w:t>
            </w:r>
          </w:p>
        </w:tc>
      </w:tr>
      <w:tr w14:paraId="7FC68D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80" w:type="dxa"/>
            <w:tcBorders>
              <w:top w:val="outset" w:color="auto" w:sz="6" w:space="0"/>
              <w:left w:val="outset" w:color="auto" w:sz="6" w:space="0"/>
              <w:right w:val="outset" w:color="auto" w:sz="6" w:space="0"/>
            </w:tcBorders>
            <w:noWrap w:val="0"/>
            <w:vAlign w:val="center"/>
          </w:tcPr>
          <w:p w14:paraId="43957F3E">
            <w:pPr>
              <w:spacing w:line="400" w:lineRule="exact"/>
              <w:jc w:val="center"/>
              <w:rPr>
                <w:rFonts w:hint="eastAsia" w:ascii="宋体" w:hAnsi="宋体" w:cs="宋体"/>
                <w:sz w:val="22"/>
                <w:szCs w:val="22"/>
              </w:rPr>
            </w:pPr>
            <w:r>
              <w:rPr>
                <w:rFonts w:hint="eastAsia" w:ascii="宋体" w:hAnsi="宋体" w:cs="宋体"/>
                <w:sz w:val="22"/>
                <w:szCs w:val="22"/>
              </w:rPr>
              <w:t>2</w:t>
            </w:r>
          </w:p>
        </w:tc>
        <w:tc>
          <w:tcPr>
            <w:tcW w:w="2494" w:type="dxa"/>
            <w:tcBorders>
              <w:top w:val="outset" w:color="auto" w:sz="6" w:space="0"/>
              <w:left w:val="outset" w:color="auto" w:sz="6" w:space="0"/>
              <w:right w:val="outset" w:color="auto" w:sz="6" w:space="0"/>
            </w:tcBorders>
            <w:noWrap w:val="0"/>
            <w:vAlign w:val="center"/>
          </w:tcPr>
          <w:p w14:paraId="11EDF766">
            <w:pPr>
              <w:jc w:val="center"/>
              <w:rPr>
                <w:rFonts w:hint="eastAsia" w:ascii="宋体" w:hAnsi="宋体" w:cs="宋体"/>
                <w:sz w:val="22"/>
                <w:szCs w:val="22"/>
              </w:rPr>
            </w:pPr>
            <w:r>
              <w:rPr>
                <w:rFonts w:hint="eastAsia" w:ascii="宋体" w:hAnsi="宋体" w:cs="宋体"/>
                <w:sz w:val="22"/>
                <w:szCs w:val="22"/>
              </w:rPr>
              <w:t>低压柜</w:t>
            </w:r>
          </w:p>
        </w:tc>
        <w:tc>
          <w:tcPr>
            <w:tcW w:w="5343" w:type="dxa"/>
            <w:tcBorders>
              <w:top w:val="outset" w:color="auto" w:sz="6" w:space="0"/>
              <w:left w:val="outset" w:color="auto" w:sz="6" w:space="0"/>
              <w:bottom w:val="outset" w:color="auto" w:sz="6" w:space="0"/>
              <w:right w:val="outset" w:color="auto" w:sz="6" w:space="0"/>
            </w:tcBorders>
            <w:noWrap w:val="0"/>
            <w:vAlign w:val="center"/>
          </w:tcPr>
          <w:p w14:paraId="64831C09">
            <w:pPr>
              <w:jc w:val="center"/>
              <w:rPr>
                <w:rFonts w:ascii="宋体" w:hAnsi="宋体" w:cs="宋体"/>
                <w:sz w:val="22"/>
                <w:szCs w:val="22"/>
              </w:rPr>
            </w:pPr>
            <w:r>
              <w:rPr>
                <w:rFonts w:hint="eastAsia" w:ascii="宋体" w:hAnsi="宋体" w:cs="宋体"/>
                <w:sz w:val="22"/>
                <w:szCs w:val="22"/>
              </w:rPr>
              <w:t>ABB、施耐德、海格</w:t>
            </w:r>
          </w:p>
        </w:tc>
      </w:tr>
      <w:tr w14:paraId="0FAA9D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0" w:type="dxa"/>
            <w:tcBorders>
              <w:top w:val="outset" w:color="auto" w:sz="6" w:space="0"/>
              <w:left w:val="outset" w:color="auto" w:sz="6" w:space="0"/>
              <w:right w:val="outset" w:color="auto" w:sz="6" w:space="0"/>
            </w:tcBorders>
            <w:noWrap w:val="0"/>
            <w:vAlign w:val="center"/>
          </w:tcPr>
          <w:p w14:paraId="4C590648">
            <w:pPr>
              <w:spacing w:line="400" w:lineRule="exact"/>
              <w:jc w:val="center"/>
              <w:rPr>
                <w:rFonts w:hint="eastAsia" w:ascii="宋体" w:hAnsi="宋体" w:cs="宋体"/>
                <w:sz w:val="22"/>
                <w:szCs w:val="22"/>
              </w:rPr>
            </w:pPr>
            <w:r>
              <w:rPr>
                <w:rFonts w:hint="eastAsia" w:ascii="宋体" w:hAnsi="宋体" w:cs="宋体"/>
                <w:sz w:val="22"/>
                <w:szCs w:val="22"/>
              </w:rPr>
              <w:t>3</w:t>
            </w:r>
          </w:p>
        </w:tc>
        <w:tc>
          <w:tcPr>
            <w:tcW w:w="2494" w:type="dxa"/>
            <w:tcBorders>
              <w:top w:val="outset" w:color="auto" w:sz="6" w:space="0"/>
              <w:left w:val="outset" w:color="auto" w:sz="6" w:space="0"/>
              <w:right w:val="outset" w:color="auto" w:sz="6" w:space="0"/>
            </w:tcBorders>
            <w:noWrap w:val="0"/>
            <w:vAlign w:val="center"/>
          </w:tcPr>
          <w:p w14:paraId="6040651A">
            <w:pPr>
              <w:jc w:val="center"/>
              <w:rPr>
                <w:rFonts w:hint="eastAsia" w:ascii="宋体" w:hAnsi="宋体" w:cs="宋体"/>
                <w:sz w:val="22"/>
                <w:szCs w:val="22"/>
              </w:rPr>
            </w:pPr>
            <w:r>
              <w:rPr>
                <w:rFonts w:hint="eastAsia" w:ascii="宋体" w:hAnsi="宋体" w:cs="宋体"/>
                <w:sz w:val="22"/>
                <w:szCs w:val="22"/>
              </w:rPr>
              <w:t>三箱</w:t>
            </w:r>
          </w:p>
        </w:tc>
        <w:tc>
          <w:tcPr>
            <w:tcW w:w="5343" w:type="dxa"/>
            <w:tcBorders>
              <w:top w:val="outset" w:color="auto" w:sz="6" w:space="0"/>
              <w:left w:val="outset" w:color="auto" w:sz="6" w:space="0"/>
              <w:bottom w:val="outset" w:color="auto" w:sz="6" w:space="0"/>
              <w:right w:val="outset" w:color="auto" w:sz="6" w:space="0"/>
            </w:tcBorders>
            <w:noWrap w:val="0"/>
            <w:vAlign w:val="center"/>
          </w:tcPr>
          <w:p w14:paraId="4215FC0C">
            <w:pPr>
              <w:jc w:val="center"/>
              <w:rPr>
                <w:rFonts w:hint="eastAsia" w:ascii="宋体" w:hAnsi="宋体" w:cs="宋体"/>
                <w:sz w:val="22"/>
                <w:szCs w:val="22"/>
              </w:rPr>
            </w:pPr>
            <w:r>
              <w:rPr>
                <w:rFonts w:hint="eastAsia" w:ascii="宋体" w:hAnsi="宋体" w:cs="宋体"/>
                <w:sz w:val="22"/>
                <w:szCs w:val="22"/>
              </w:rPr>
              <w:t>广州白云、泰豪科技、任达、亚洲电力、新会电控、顺开、泰昂、爱得威、凌祺、盛德兰、金盘电气、华通电气、盛隆、南京大全</w:t>
            </w:r>
          </w:p>
        </w:tc>
      </w:tr>
      <w:tr w14:paraId="2B6C82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0" w:type="dxa"/>
            <w:tcBorders>
              <w:top w:val="outset" w:color="auto" w:sz="6" w:space="0"/>
              <w:left w:val="outset" w:color="auto" w:sz="6" w:space="0"/>
              <w:right w:val="outset" w:color="auto" w:sz="6" w:space="0"/>
            </w:tcBorders>
            <w:noWrap w:val="0"/>
            <w:vAlign w:val="center"/>
          </w:tcPr>
          <w:p w14:paraId="7AC0660B">
            <w:pPr>
              <w:spacing w:line="400" w:lineRule="exact"/>
              <w:jc w:val="center"/>
              <w:rPr>
                <w:rFonts w:hint="eastAsia" w:ascii="宋体" w:hAnsi="宋体" w:cs="宋体"/>
                <w:sz w:val="22"/>
                <w:szCs w:val="22"/>
              </w:rPr>
            </w:pPr>
            <w:r>
              <w:rPr>
                <w:rFonts w:hint="eastAsia" w:ascii="宋体" w:hAnsi="宋体" w:cs="宋体"/>
                <w:sz w:val="22"/>
                <w:szCs w:val="22"/>
              </w:rPr>
              <w:t>4</w:t>
            </w:r>
          </w:p>
        </w:tc>
        <w:tc>
          <w:tcPr>
            <w:tcW w:w="2494" w:type="dxa"/>
            <w:tcBorders>
              <w:top w:val="outset" w:color="auto" w:sz="6" w:space="0"/>
              <w:left w:val="outset" w:color="auto" w:sz="6" w:space="0"/>
              <w:right w:val="outset" w:color="auto" w:sz="6" w:space="0"/>
            </w:tcBorders>
            <w:noWrap w:val="0"/>
            <w:vAlign w:val="center"/>
          </w:tcPr>
          <w:p w14:paraId="5A4AFE42">
            <w:pPr>
              <w:jc w:val="center"/>
              <w:rPr>
                <w:rFonts w:hint="eastAsia" w:ascii="宋体" w:hAnsi="宋体" w:cs="宋体"/>
                <w:sz w:val="22"/>
                <w:szCs w:val="22"/>
              </w:rPr>
            </w:pPr>
            <w:r>
              <w:rPr>
                <w:rFonts w:hint="eastAsia" w:ascii="宋体" w:hAnsi="宋体" w:cs="宋体"/>
                <w:sz w:val="22"/>
                <w:szCs w:val="22"/>
              </w:rPr>
              <w:t>断路器</w:t>
            </w:r>
          </w:p>
        </w:tc>
        <w:tc>
          <w:tcPr>
            <w:tcW w:w="5343" w:type="dxa"/>
            <w:tcBorders>
              <w:top w:val="outset" w:color="auto" w:sz="6" w:space="0"/>
              <w:left w:val="outset" w:color="auto" w:sz="6" w:space="0"/>
              <w:bottom w:val="outset" w:color="auto" w:sz="6" w:space="0"/>
              <w:right w:val="outset" w:color="auto" w:sz="6" w:space="0"/>
            </w:tcBorders>
            <w:noWrap w:val="0"/>
            <w:vAlign w:val="center"/>
          </w:tcPr>
          <w:p w14:paraId="660B0EB8">
            <w:pPr>
              <w:jc w:val="center"/>
              <w:rPr>
                <w:rFonts w:hint="eastAsia" w:ascii="宋体" w:hAnsi="宋体" w:cs="宋体"/>
                <w:sz w:val="22"/>
                <w:szCs w:val="22"/>
              </w:rPr>
            </w:pPr>
            <w:r>
              <w:rPr>
                <w:rFonts w:hint="eastAsia" w:ascii="宋体" w:hAnsi="宋体" w:cs="宋体"/>
                <w:sz w:val="22"/>
                <w:szCs w:val="22"/>
              </w:rPr>
              <w:t>施耐德、海格、伊顿、正泰</w:t>
            </w:r>
          </w:p>
        </w:tc>
      </w:tr>
      <w:tr w14:paraId="12619A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0" w:type="dxa"/>
            <w:tcBorders>
              <w:top w:val="outset" w:color="auto" w:sz="6" w:space="0"/>
              <w:left w:val="outset" w:color="auto" w:sz="6" w:space="0"/>
              <w:right w:val="outset" w:color="auto" w:sz="6" w:space="0"/>
            </w:tcBorders>
            <w:noWrap w:val="0"/>
            <w:vAlign w:val="center"/>
          </w:tcPr>
          <w:p w14:paraId="191B9939">
            <w:pPr>
              <w:spacing w:line="400" w:lineRule="exact"/>
              <w:jc w:val="center"/>
              <w:rPr>
                <w:rFonts w:hint="eastAsia" w:ascii="宋体" w:hAnsi="宋体" w:cs="宋体"/>
                <w:sz w:val="22"/>
                <w:szCs w:val="22"/>
              </w:rPr>
            </w:pPr>
            <w:r>
              <w:rPr>
                <w:rFonts w:hint="eastAsia" w:ascii="宋体" w:hAnsi="宋体" w:cs="宋体"/>
                <w:sz w:val="22"/>
                <w:szCs w:val="22"/>
              </w:rPr>
              <w:t>5</w:t>
            </w:r>
          </w:p>
        </w:tc>
        <w:tc>
          <w:tcPr>
            <w:tcW w:w="2494" w:type="dxa"/>
            <w:tcBorders>
              <w:top w:val="outset" w:color="auto" w:sz="6" w:space="0"/>
              <w:left w:val="outset" w:color="auto" w:sz="6" w:space="0"/>
              <w:right w:val="outset" w:color="auto" w:sz="6" w:space="0"/>
            </w:tcBorders>
            <w:noWrap w:val="0"/>
            <w:vAlign w:val="center"/>
          </w:tcPr>
          <w:p w14:paraId="58DC2BB7">
            <w:pPr>
              <w:jc w:val="center"/>
              <w:rPr>
                <w:rFonts w:hint="eastAsia" w:ascii="宋体" w:hAnsi="宋体" w:cs="宋体"/>
                <w:sz w:val="22"/>
                <w:szCs w:val="22"/>
              </w:rPr>
            </w:pPr>
            <w:r>
              <w:rPr>
                <w:rFonts w:hint="eastAsia" w:ascii="宋体" w:hAnsi="宋体" w:cs="宋体"/>
                <w:sz w:val="22"/>
                <w:szCs w:val="22"/>
              </w:rPr>
              <w:t>稳压器</w:t>
            </w:r>
          </w:p>
        </w:tc>
        <w:tc>
          <w:tcPr>
            <w:tcW w:w="5343" w:type="dxa"/>
            <w:tcBorders>
              <w:top w:val="outset" w:color="auto" w:sz="6" w:space="0"/>
              <w:left w:val="outset" w:color="auto" w:sz="6" w:space="0"/>
              <w:bottom w:val="outset" w:color="auto" w:sz="6" w:space="0"/>
              <w:right w:val="outset" w:color="auto" w:sz="6" w:space="0"/>
            </w:tcBorders>
            <w:noWrap w:val="0"/>
            <w:vAlign w:val="center"/>
          </w:tcPr>
          <w:p w14:paraId="64D3EABA">
            <w:pPr>
              <w:jc w:val="center"/>
              <w:rPr>
                <w:rFonts w:hint="eastAsia" w:ascii="宋体" w:hAnsi="宋体" w:cs="宋体"/>
                <w:sz w:val="22"/>
                <w:szCs w:val="22"/>
              </w:rPr>
            </w:pPr>
            <w:r>
              <w:rPr>
                <w:rFonts w:hint="eastAsia" w:ascii="宋体" w:hAnsi="宋体" w:cs="宋体"/>
                <w:sz w:val="22"/>
                <w:szCs w:val="22"/>
              </w:rPr>
              <w:t>德力西、ABB、正泰</w:t>
            </w:r>
          </w:p>
        </w:tc>
      </w:tr>
      <w:tr w14:paraId="27D142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0" w:type="dxa"/>
            <w:tcBorders>
              <w:top w:val="outset" w:color="auto" w:sz="6" w:space="0"/>
              <w:left w:val="outset" w:color="auto" w:sz="6" w:space="0"/>
              <w:right w:val="outset" w:color="auto" w:sz="6" w:space="0"/>
            </w:tcBorders>
            <w:noWrap w:val="0"/>
            <w:vAlign w:val="center"/>
          </w:tcPr>
          <w:p w14:paraId="7D4AEFFC">
            <w:pPr>
              <w:spacing w:line="400" w:lineRule="exact"/>
              <w:jc w:val="center"/>
              <w:rPr>
                <w:rFonts w:hint="eastAsia" w:ascii="宋体" w:hAnsi="宋体" w:cs="宋体"/>
                <w:sz w:val="22"/>
                <w:szCs w:val="22"/>
              </w:rPr>
            </w:pPr>
            <w:r>
              <w:rPr>
                <w:rFonts w:hint="eastAsia" w:ascii="宋体" w:hAnsi="宋体" w:cs="宋体"/>
                <w:sz w:val="22"/>
                <w:szCs w:val="22"/>
              </w:rPr>
              <w:t>6</w:t>
            </w:r>
          </w:p>
        </w:tc>
        <w:tc>
          <w:tcPr>
            <w:tcW w:w="2494" w:type="dxa"/>
            <w:tcBorders>
              <w:top w:val="outset" w:color="auto" w:sz="6" w:space="0"/>
              <w:left w:val="outset" w:color="auto" w:sz="6" w:space="0"/>
              <w:right w:val="outset" w:color="auto" w:sz="6" w:space="0"/>
            </w:tcBorders>
            <w:noWrap w:val="0"/>
            <w:vAlign w:val="center"/>
          </w:tcPr>
          <w:p w14:paraId="523BAD5B">
            <w:pPr>
              <w:jc w:val="center"/>
              <w:rPr>
                <w:rFonts w:hint="eastAsia" w:ascii="宋体" w:hAnsi="宋体" w:cs="宋体"/>
                <w:sz w:val="22"/>
                <w:szCs w:val="22"/>
              </w:rPr>
            </w:pPr>
            <w:r>
              <w:rPr>
                <w:rFonts w:hint="eastAsia" w:ascii="宋体" w:hAnsi="宋体" w:cs="宋体"/>
                <w:sz w:val="22"/>
                <w:szCs w:val="22"/>
              </w:rPr>
              <w:t>双电源（ATS）</w:t>
            </w:r>
          </w:p>
        </w:tc>
        <w:tc>
          <w:tcPr>
            <w:tcW w:w="5343" w:type="dxa"/>
            <w:tcBorders>
              <w:top w:val="outset" w:color="auto" w:sz="6" w:space="0"/>
              <w:left w:val="outset" w:color="auto" w:sz="6" w:space="0"/>
              <w:bottom w:val="outset" w:color="auto" w:sz="6" w:space="0"/>
              <w:right w:val="outset" w:color="auto" w:sz="6" w:space="0"/>
            </w:tcBorders>
            <w:noWrap w:val="0"/>
            <w:vAlign w:val="center"/>
          </w:tcPr>
          <w:p w14:paraId="0344F66C">
            <w:pPr>
              <w:jc w:val="center"/>
              <w:rPr>
                <w:rFonts w:hint="eastAsia" w:ascii="宋体" w:hAnsi="宋体" w:cs="宋体"/>
                <w:b/>
                <w:sz w:val="22"/>
                <w:szCs w:val="22"/>
              </w:rPr>
            </w:pPr>
            <w:r>
              <w:rPr>
                <w:rFonts w:hint="eastAsia" w:ascii="宋体" w:hAnsi="宋体" w:cs="宋体"/>
                <w:sz w:val="22"/>
                <w:szCs w:val="22"/>
              </w:rPr>
              <w:t>ASCO、GE 、施耐德（WOTPC/WBTPC 系列）</w:t>
            </w:r>
          </w:p>
        </w:tc>
      </w:tr>
      <w:tr w14:paraId="0CA615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0" w:type="dxa"/>
            <w:tcBorders>
              <w:top w:val="outset" w:color="auto" w:sz="6" w:space="0"/>
              <w:left w:val="outset" w:color="auto" w:sz="6" w:space="0"/>
              <w:right w:val="outset" w:color="auto" w:sz="6" w:space="0"/>
            </w:tcBorders>
            <w:noWrap w:val="0"/>
            <w:vAlign w:val="center"/>
          </w:tcPr>
          <w:p w14:paraId="3FFA62BB">
            <w:pPr>
              <w:spacing w:line="400" w:lineRule="exact"/>
              <w:jc w:val="center"/>
              <w:rPr>
                <w:rFonts w:hint="eastAsia" w:ascii="宋体" w:hAnsi="宋体" w:cs="宋体"/>
                <w:sz w:val="22"/>
                <w:szCs w:val="22"/>
              </w:rPr>
            </w:pPr>
            <w:r>
              <w:rPr>
                <w:rFonts w:hint="eastAsia" w:ascii="宋体" w:hAnsi="宋体" w:cs="宋体"/>
                <w:sz w:val="22"/>
                <w:szCs w:val="22"/>
              </w:rPr>
              <w:t>7</w:t>
            </w:r>
          </w:p>
        </w:tc>
        <w:tc>
          <w:tcPr>
            <w:tcW w:w="2494" w:type="dxa"/>
            <w:tcBorders>
              <w:top w:val="outset" w:color="auto" w:sz="6" w:space="0"/>
              <w:left w:val="outset" w:color="auto" w:sz="6" w:space="0"/>
              <w:right w:val="outset" w:color="auto" w:sz="6" w:space="0"/>
            </w:tcBorders>
            <w:noWrap w:val="0"/>
            <w:vAlign w:val="center"/>
          </w:tcPr>
          <w:p w14:paraId="76AAAE5C">
            <w:pPr>
              <w:jc w:val="center"/>
              <w:rPr>
                <w:rFonts w:hint="eastAsia" w:ascii="宋体" w:hAnsi="宋体" w:cs="宋体"/>
                <w:sz w:val="22"/>
                <w:szCs w:val="22"/>
              </w:rPr>
            </w:pPr>
            <w:r>
              <w:rPr>
                <w:rFonts w:hint="eastAsia" w:ascii="宋体" w:hAnsi="宋体" w:cs="宋体"/>
                <w:sz w:val="22"/>
                <w:szCs w:val="22"/>
              </w:rPr>
              <w:t>电线</w:t>
            </w:r>
          </w:p>
        </w:tc>
        <w:tc>
          <w:tcPr>
            <w:tcW w:w="5343" w:type="dxa"/>
            <w:tcBorders>
              <w:top w:val="outset" w:color="auto" w:sz="6" w:space="0"/>
              <w:left w:val="outset" w:color="auto" w:sz="6" w:space="0"/>
              <w:bottom w:val="outset" w:color="auto" w:sz="6" w:space="0"/>
              <w:right w:val="outset" w:color="auto" w:sz="6" w:space="0"/>
            </w:tcBorders>
            <w:noWrap w:val="0"/>
            <w:vAlign w:val="center"/>
          </w:tcPr>
          <w:p w14:paraId="0438EDC2">
            <w:pPr>
              <w:jc w:val="center"/>
              <w:rPr>
                <w:rFonts w:hint="eastAsia" w:ascii="宋体" w:hAnsi="宋体" w:cs="宋体"/>
                <w:sz w:val="22"/>
                <w:szCs w:val="22"/>
              </w:rPr>
            </w:pPr>
            <w:r>
              <w:rPr>
                <w:rFonts w:hint="eastAsia" w:ascii="宋体" w:hAnsi="宋体" w:cs="宋体"/>
                <w:sz w:val="22"/>
                <w:szCs w:val="22"/>
              </w:rPr>
              <w:t>亨通光电、金龙羽、新威讯、奔达康、东佳信、金环宇、成天泰、环市、广东长江（南光牌）、双菱</w:t>
            </w:r>
          </w:p>
        </w:tc>
      </w:tr>
      <w:tr w14:paraId="5B3C61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0" w:type="dxa"/>
            <w:tcBorders>
              <w:top w:val="outset" w:color="auto" w:sz="6" w:space="0"/>
              <w:left w:val="outset" w:color="auto" w:sz="6" w:space="0"/>
              <w:bottom w:val="outset" w:color="auto" w:sz="6" w:space="0"/>
              <w:right w:val="outset" w:color="auto" w:sz="6" w:space="0"/>
            </w:tcBorders>
            <w:noWrap w:val="0"/>
            <w:vAlign w:val="center"/>
          </w:tcPr>
          <w:p w14:paraId="15A259D9">
            <w:pPr>
              <w:spacing w:line="400" w:lineRule="exact"/>
              <w:jc w:val="center"/>
              <w:rPr>
                <w:rFonts w:hint="eastAsia" w:ascii="宋体" w:hAnsi="宋体" w:cs="宋体"/>
                <w:sz w:val="22"/>
                <w:szCs w:val="22"/>
              </w:rPr>
            </w:pPr>
            <w:r>
              <w:rPr>
                <w:rFonts w:hint="eastAsia" w:ascii="宋体" w:hAnsi="宋体" w:cs="宋体"/>
                <w:sz w:val="22"/>
                <w:szCs w:val="22"/>
              </w:rPr>
              <w:t>8</w:t>
            </w:r>
          </w:p>
        </w:tc>
        <w:tc>
          <w:tcPr>
            <w:tcW w:w="2494" w:type="dxa"/>
            <w:tcBorders>
              <w:top w:val="outset" w:color="auto" w:sz="6" w:space="0"/>
              <w:left w:val="outset" w:color="auto" w:sz="6" w:space="0"/>
              <w:bottom w:val="outset" w:color="auto" w:sz="6" w:space="0"/>
              <w:right w:val="outset" w:color="auto" w:sz="6" w:space="0"/>
            </w:tcBorders>
            <w:noWrap w:val="0"/>
            <w:vAlign w:val="center"/>
          </w:tcPr>
          <w:p w14:paraId="06A00B7E">
            <w:pPr>
              <w:jc w:val="center"/>
              <w:rPr>
                <w:rFonts w:hint="eastAsia" w:ascii="宋体" w:hAnsi="宋体" w:cs="宋体"/>
                <w:sz w:val="22"/>
                <w:szCs w:val="22"/>
              </w:rPr>
            </w:pPr>
            <w:r>
              <w:rPr>
                <w:rFonts w:hint="eastAsia" w:ascii="宋体" w:hAnsi="宋体" w:cs="宋体"/>
                <w:sz w:val="22"/>
                <w:szCs w:val="22"/>
              </w:rPr>
              <w:t>热浸塑钢管</w:t>
            </w:r>
          </w:p>
        </w:tc>
        <w:tc>
          <w:tcPr>
            <w:tcW w:w="5343" w:type="dxa"/>
            <w:tcBorders>
              <w:top w:val="outset" w:color="auto" w:sz="6" w:space="0"/>
              <w:left w:val="outset" w:color="auto" w:sz="6" w:space="0"/>
              <w:bottom w:val="outset" w:color="auto" w:sz="6" w:space="0"/>
              <w:right w:val="outset" w:color="auto" w:sz="6" w:space="0"/>
            </w:tcBorders>
            <w:noWrap w:val="0"/>
            <w:vAlign w:val="center"/>
          </w:tcPr>
          <w:p w14:paraId="55B938B9">
            <w:pPr>
              <w:jc w:val="center"/>
              <w:rPr>
                <w:rFonts w:ascii="宋体" w:hAnsi="宋体" w:cs="宋体"/>
                <w:sz w:val="22"/>
                <w:szCs w:val="22"/>
              </w:rPr>
            </w:pPr>
            <w:r>
              <w:rPr>
                <w:rFonts w:hint="eastAsia" w:ascii="宋体" w:hAnsi="宋体" w:cs="宋体"/>
                <w:sz w:val="22"/>
                <w:szCs w:val="22"/>
              </w:rPr>
              <w:t>东方格林、亿斯特、深美路</w:t>
            </w:r>
          </w:p>
        </w:tc>
      </w:tr>
    </w:tbl>
    <w:p w14:paraId="28B173A3">
      <w:pPr>
        <w:rPr>
          <w:rFonts w:hint="eastAsia" w:ascii="宋体" w:hAnsi="宋体" w:cs="宋体"/>
          <w:b/>
          <w:szCs w:val="21"/>
        </w:rPr>
      </w:pPr>
    </w:p>
    <w:p w14:paraId="221606A9">
      <w:pPr>
        <w:jc w:val="center"/>
        <w:rPr>
          <w:rFonts w:hint="eastAsia" w:ascii="宋体" w:hAnsi="宋体" w:cs="宋体"/>
          <w:b/>
          <w:sz w:val="22"/>
          <w:szCs w:val="22"/>
        </w:rPr>
      </w:pPr>
      <w:r>
        <w:rPr>
          <w:rFonts w:hint="eastAsia" w:ascii="宋体" w:hAnsi="宋体" w:cs="宋体"/>
          <w:b/>
          <w:sz w:val="22"/>
          <w:szCs w:val="22"/>
        </w:rPr>
        <w:t>弱电材料设备参考品牌库</w:t>
      </w:r>
    </w:p>
    <w:tbl>
      <w:tblPr>
        <w:tblStyle w:val="9"/>
        <w:tblpPr w:leftFromText="180" w:rightFromText="180" w:vertAnchor="text" w:tblpXSpec="center" w:tblpY="1"/>
        <w:tblOverlap w:val="never"/>
        <w:tblW w:w="845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76"/>
        <w:gridCol w:w="2476"/>
        <w:gridCol w:w="5305"/>
      </w:tblGrid>
      <w:tr w14:paraId="2083F5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365B6533">
            <w:pPr>
              <w:spacing w:line="240" w:lineRule="atLeast"/>
              <w:jc w:val="center"/>
              <w:rPr>
                <w:rFonts w:hint="eastAsia" w:ascii="宋体" w:hAnsi="宋体" w:cs="宋体"/>
                <w:b/>
                <w:sz w:val="22"/>
                <w:szCs w:val="22"/>
              </w:rPr>
            </w:pPr>
            <w:r>
              <w:rPr>
                <w:rFonts w:hint="eastAsia" w:ascii="宋体" w:hAnsi="宋体" w:cs="宋体"/>
                <w:b/>
                <w:sz w:val="22"/>
                <w:szCs w:val="22"/>
              </w:rPr>
              <w:t>编号</w:t>
            </w:r>
          </w:p>
        </w:tc>
        <w:tc>
          <w:tcPr>
            <w:tcW w:w="2476" w:type="dxa"/>
            <w:tcBorders>
              <w:top w:val="outset" w:color="auto" w:sz="6" w:space="0"/>
              <w:left w:val="outset" w:color="auto" w:sz="6" w:space="0"/>
              <w:right w:val="outset" w:color="auto" w:sz="6" w:space="0"/>
            </w:tcBorders>
            <w:noWrap w:val="0"/>
            <w:vAlign w:val="center"/>
          </w:tcPr>
          <w:p w14:paraId="050E2CD8">
            <w:pPr>
              <w:spacing w:line="240" w:lineRule="atLeast"/>
              <w:jc w:val="center"/>
              <w:rPr>
                <w:rFonts w:hint="eastAsia" w:ascii="宋体" w:hAnsi="宋体" w:cs="宋体"/>
                <w:b/>
                <w:sz w:val="22"/>
                <w:szCs w:val="22"/>
              </w:rPr>
            </w:pPr>
            <w:r>
              <w:rPr>
                <w:rFonts w:hint="eastAsia" w:ascii="宋体" w:hAnsi="宋体" w:cs="宋体"/>
                <w:b/>
                <w:sz w:val="22"/>
                <w:szCs w:val="22"/>
              </w:rPr>
              <w:t>材料设备品种</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498C9C5D">
            <w:pPr>
              <w:jc w:val="center"/>
              <w:rPr>
                <w:rFonts w:hint="eastAsia" w:ascii="宋体" w:hAnsi="宋体" w:cs="宋体"/>
                <w:b/>
                <w:sz w:val="22"/>
                <w:szCs w:val="22"/>
              </w:rPr>
            </w:pPr>
            <w:r>
              <w:rPr>
                <w:rFonts w:hint="eastAsia" w:ascii="宋体" w:hAnsi="宋体" w:cs="宋体"/>
                <w:b/>
                <w:sz w:val="22"/>
                <w:szCs w:val="22"/>
              </w:rPr>
              <w:t>参考品牌</w:t>
            </w:r>
          </w:p>
        </w:tc>
      </w:tr>
      <w:tr w14:paraId="21FBCD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1BC61537">
            <w:pPr>
              <w:spacing w:line="240" w:lineRule="atLeast"/>
              <w:jc w:val="center"/>
              <w:rPr>
                <w:rFonts w:hint="eastAsia" w:ascii="宋体" w:hAnsi="宋体" w:cs="宋体"/>
                <w:sz w:val="22"/>
                <w:szCs w:val="22"/>
              </w:rPr>
            </w:pPr>
            <w:r>
              <w:rPr>
                <w:rFonts w:hint="eastAsia" w:ascii="宋体" w:hAnsi="宋体" w:cs="宋体"/>
                <w:sz w:val="22"/>
                <w:szCs w:val="22"/>
              </w:rPr>
              <w:t>1</w:t>
            </w:r>
          </w:p>
        </w:tc>
        <w:tc>
          <w:tcPr>
            <w:tcW w:w="2476" w:type="dxa"/>
            <w:tcBorders>
              <w:top w:val="outset" w:color="auto" w:sz="6" w:space="0"/>
              <w:left w:val="outset" w:color="auto" w:sz="6" w:space="0"/>
              <w:right w:val="outset" w:color="auto" w:sz="6" w:space="0"/>
            </w:tcBorders>
            <w:noWrap w:val="0"/>
            <w:vAlign w:val="center"/>
          </w:tcPr>
          <w:p w14:paraId="59515224">
            <w:pPr>
              <w:spacing w:line="240" w:lineRule="atLeast"/>
              <w:jc w:val="center"/>
              <w:rPr>
                <w:rFonts w:hint="eastAsia" w:ascii="宋体" w:hAnsi="宋体" w:cs="宋体"/>
                <w:sz w:val="22"/>
                <w:szCs w:val="22"/>
              </w:rPr>
            </w:pPr>
            <w:r>
              <w:rPr>
                <w:rFonts w:hint="eastAsia" w:ascii="宋体" w:hAnsi="宋体" w:cs="宋体"/>
                <w:sz w:val="22"/>
                <w:szCs w:val="22"/>
              </w:rPr>
              <w:t>火灾报警</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0A39392D">
            <w:pPr>
              <w:jc w:val="center"/>
              <w:rPr>
                <w:rFonts w:hint="eastAsia" w:ascii="宋体" w:hAnsi="宋体" w:cs="宋体"/>
                <w:sz w:val="22"/>
                <w:szCs w:val="22"/>
              </w:rPr>
            </w:pPr>
            <w:r>
              <w:rPr>
                <w:rFonts w:hint="eastAsia" w:ascii="宋体" w:hAnsi="宋体" w:cs="宋体"/>
                <w:sz w:val="22"/>
                <w:szCs w:val="22"/>
              </w:rPr>
              <w:t>江森、诺蒂菲尔、保得威尔、西门子、安舍、霍尼韦尔、NOHMI（能美）</w:t>
            </w:r>
          </w:p>
        </w:tc>
      </w:tr>
      <w:tr w14:paraId="4C1502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5D10AF52">
            <w:pPr>
              <w:spacing w:line="240" w:lineRule="atLeast"/>
              <w:jc w:val="center"/>
              <w:rPr>
                <w:rFonts w:hint="eastAsia" w:ascii="宋体" w:hAnsi="宋体" w:cs="宋体"/>
                <w:sz w:val="22"/>
                <w:szCs w:val="22"/>
              </w:rPr>
            </w:pPr>
            <w:r>
              <w:rPr>
                <w:rFonts w:hint="eastAsia" w:ascii="宋体" w:hAnsi="宋体" w:cs="宋体"/>
                <w:sz w:val="22"/>
                <w:szCs w:val="22"/>
              </w:rPr>
              <w:t>2</w:t>
            </w:r>
          </w:p>
        </w:tc>
        <w:tc>
          <w:tcPr>
            <w:tcW w:w="2476" w:type="dxa"/>
            <w:tcBorders>
              <w:top w:val="outset" w:color="auto" w:sz="6" w:space="0"/>
              <w:left w:val="outset" w:color="auto" w:sz="6" w:space="0"/>
              <w:right w:val="outset" w:color="auto" w:sz="6" w:space="0"/>
            </w:tcBorders>
            <w:noWrap w:val="0"/>
            <w:vAlign w:val="center"/>
          </w:tcPr>
          <w:p w14:paraId="27FB57A3">
            <w:pPr>
              <w:spacing w:line="240" w:lineRule="atLeast"/>
              <w:jc w:val="center"/>
              <w:rPr>
                <w:rFonts w:hint="eastAsia" w:ascii="宋体" w:hAnsi="宋体" w:cs="宋体"/>
                <w:sz w:val="22"/>
                <w:szCs w:val="22"/>
              </w:rPr>
            </w:pPr>
            <w:r>
              <w:rPr>
                <w:rFonts w:hint="eastAsia" w:ascii="宋体" w:hAnsi="宋体" w:cs="宋体"/>
                <w:sz w:val="22"/>
                <w:szCs w:val="22"/>
              </w:rPr>
              <w:t>联动控制柜</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0A0E5DA1">
            <w:pPr>
              <w:jc w:val="center"/>
              <w:rPr>
                <w:rFonts w:hint="eastAsia" w:ascii="宋体" w:hAnsi="宋体" w:cs="宋体"/>
                <w:sz w:val="22"/>
                <w:szCs w:val="22"/>
              </w:rPr>
            </w:pPr>
            <w:r>
              <w:rPr>
                <w:rFonts w:hint="eastAsia" w:ascii="宋体" w:hAnsi="宋体" w:cs="宋体"/>
                <w:sz w:val="22"/>
                <w:szCs w:val="22"/>
              </w:rPr>
              <w:t>泛海三江、赋安、奥瑞那、海湾、北大青鸟、泰和安科技</w:t>
            </w:r>
          </w:p>
        </w:tc>
      </w:tr>
      <w:tr w14:paraId="17C292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7AC67439">
            <w:pPr>
              <w:spacing w:line="240" w:lineRule="atLeast"/>
              <w:jc w:val="center"/>
              <w:rPr>
                <w:rFonts w:hint="eastAsia" w:ascii="宋体" w:hAnsi="宋体" w:cs="宋体"/>
                <w:sz w:val="22"/>
                <w:szCs w:val="22"/>
              </w:rPr>
            </w:pPr>
            <w:r>
              <w:rPr>
                <w:rFonts w:hint="eastAsia" w:ascii="宋体" w:hAnsi="宋体" w:cs="宋体"/>
                <w:sz w:val="22"/>
                <w:szCs w:val="22"/>
              </w:rPr>
              <w:t>3</w:t>
            </w:r>
          </w:p>
        </w:tc>
        <w:tc>
          <w:tcPr>
            <w:tcW w:w="2476" w:type="dxa"/>
            <w:tcBorders>
              <w:top w:val="outset" w:color="auto" w:sz="6" w:space="0"/>
              <w:left w:val="outset" w:color="auto" w:sz="6" w:space="0"/>
              <w:right w:val="outset" w:color="auto" w:sz="6" w:space="0"/>
            </w:tcBorders>
            <w:noWrap w:val="0"/>
            <w:vAlign w:val="center"/>
          </w:tcPr>
          <w:p w14:paraId="5B345F60">
            <w:pPr>
              <w:spacing w:line="240" w:lineRule="atLeast"/>
              <w:jc w:val="center"/>
              <w:rPr>
                <w:rFonts w:hint="eastAsia" w:ascii="宋体" w:hAnsi="宋体" w:cs="宋体"/>
                <w:sz w:val="22"/>
                <w:szCs w:val="22"/>
              </w:rPr>
            </w:pPr>
            <w:r>
              <w:rPr>
                <w:rFonts w:hint="eastAsia" w:ascii="宋体" w:hAnsi="宋体" w:cs="宋体"/>
                <w:sz w:val="22"/>
                <w:szCs w:val="22"/>
              </w:rPr>
              <w:t>电气火灾监控</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2CD97C1C">
            <w:pPr>
              <w:jc w:val="center"/>
              <w:rPr>
                <w:rFonts w:hint="eastAsia" w:ascii="宋体" w:hAnsi="宋体" w:cs="宋体"/>
                <w:sz w:val="22"/>
                <w:szCs w:val="22"/>
              </w:rPr>
            </w:pPr>
            <w:r>
              <w:rPr>
                <w:rFonts w:hint="eastAsia" w:ascii="宋体" w:hAnsi="宋体" w:cs="宋体"/>
                <w:sz w:val="22"/>
                <w:szCs w:val="22"/>
              </w:rPr>
              <w:t>中电、派诺、华力特、上海零线、华宿、赋安安全、福建俊豪、施耐德、斯沃</w:t>
            </w:r>
          </w:p>
        </w:tc>
      </w:tr>
      <w:tr w14:paraId="0F5667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54A37D61">
            <w:pPr>
              <w:spacing w:line="240" w:lineRule="atLeast"/>
              <w:jc w:val="center"/>
              <w:rPr>
                <w:rFonts w:hint="eastAsia" w:ascii="宋体" w:hAnsi="宋体" w:cs="宋体"/>
                <w:sz w:val="22"/>
                <w:szCs w:val="22"/>
              </w:rPr>
            </w:pPr>
          </w:p>
        </w:tc>
        <w:tc>
          <w:tcPr>
            <w:tcW w:w="2476" w:type="dxa"/>
            <w:tcBorders>
              <w:top w:val="outset" w:color="auto" w:sz="6" w:space="0"/>
              <w:left w:val="outset" w:color="auto" w:sz="6" w:space="0"/>
              <w:right w:val="outset" w:color="auto" w:sz="6" w:space="0"/>
            </w:tcBorders>
            <w:noWrap w:val="0"/>
            <w:vAlign w:val="center"/>
          </w:tcPr>
          <w:p w14:paraId="661E2F6E">
            <w:pPr>
              <w:spacing w:line="240" w:lineRule="atLeast"/>
              <w:jc w:val="center"/>
              <w:rPr>
                <w:rFonts w:hint="eastAsia" w:ascii="宋体" w:hAnsi="宋体" w:cs="宋体"/>
                <w:sz w:val="22"/>
                <w:szCs w:val="22"/>
              </w:rPr>
            </w:pPr>
            <w:r>
              <w:rPr>
                <w:rFonts w:hint="eastAsia" w:ascii="宋体" w:hAnsi="宋体" w:cs="宋体"/>
                <w:sz w:val="22"/>
                <w:szCs w:val="22"/>
              </w:rPr>
              <w:t>UPS主机</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3EAF742D">
            <w:pPr>
              <w:jc w:val="center"/>
              <w:rPr>
                <w:rFonts w:hint="eastAsia" w:ascii="宋体" w:hAnsi="宋体" w:cs="宋体"/>
                <w:sz w:val="22"/>
                <w:szCs w:val="22"/>
              </w:rPr>
            </w:pPr>
            <w:r>
              <w:rPr>
                <w:rFonts w:hint="eastAsia" w:ascii="宋体" w:hAnsi="宋体" w:cs="宋体"/>
                <w:sz w:val="22"/>
                <w:szCs w:val="22"/>
              </w:rPr>
              <w:t>维谛（VERTIV）（原艾默生）、华为、伊顿、施耐德</w:t>
            </w:r>
          </w:p>
        </w:tc>
      </w:tr>
      <w:tr w14:paraId="17B47C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562D1990">
            <w:pPr>
              <w:spacing w:line="240" w:lineRule="atLeast"/>
              <w:jc w:val="center"/>
              <w:rPr>
                <w:rFonts w:hint="eastAsia" w:ascii="宋体" w:hAnsi="宋体" w:cs="宋体"/>
                <w:sz w:val="22"/>
                <w:szCs w:val="22"/>
              </w:rPr>
            </w:pPr>
            <w:r>
              <w:rPr>
                <w:rFonts w:hint="eastAsia" w:ascii="宋体" w:hAnsi="宋体" w:cs="宋体"/>
                <w:sz w:val="22"/>
                <w:szCs w:val="22"/>
              </w:rPr>
              <w:t>4</w:t>
            </w:r>
          </w:p>
        </w:tc>
        <w:tc>
          <w:tcPr>
            <w:tcW w:w="2476" w:type="dxa"/>
            <w:tcBorders>
              <w:top w:val="outset" w:color="auto" w:sz="6" w:space="0"/>
              <w:left w:val="outset" w:color="auto" w:sz="6" w:space="0"/>
              <w:right w:val="outset" w:color="auto" w:sz="6" w:space="0"/>
            </w:tcBorders>
            <w:noWrap w:val="0"/>
            <w:vAlign w:val="center"/>
          </w:tcPr>
          <w:p w14:paraId="3899C600">
            <w:pPr>
              <w:spacing w:line="240" w:lineRule="atLeast"/>
              <w:jc w:val="center"/>
              <w:rPr>
                <w:rFonts w:hint="eastAsia" w:ascii="宋体" w:hAnsi="宋体" w:cs="宋体"/>
                <w:sz w:val="22"/>
                <w:szCs w:val="22"/>
              </w:rPr>
            </w:pPr>
            <w:r>
              <w:rPr>
                <w:rFonts w:hint="eastAsia" w:ascii="宋体" w:hAnsi="宋体" w:cs="宋体"/>
                <w:sz w:val="22"/>
                <w:szCs w:val="22"/>
              </w:rPr>
              <w:t>综合布线</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07C0E0B1">
            <w:pPr>
              <w:jc w:val="center"/>
              <w:rPr>
                <w:rFonts w:hint="eastAsia" w:ascii="宋体" w:hAnsi="宋体" w:cs="宋体"/>
                <w:sz w:val="22"/>
                <w:szCs w:val="22"/>
              </w:rPr>
            </w:pPr>
            <w:r>
              <w:rPr>
                <w:rFonts w:hint="eastAsia" w:ascii="宋体" w:hAnsi="宋体" w:cs="宋体"/>
                <w:sz w:val="22"/>
                <w:szCs w:val="22"/>
              </w:rPr>
              <w:t>德特威勒、康普、西蒙</w:t>
            </w:r>
          </w:p>
        </w:tc>
      </w:tr>
      <w:tr w14:paraId="0E4301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77E9D71A">
            <w:pPr>
              <w:spacing w:line="240" w:lineRule="atLeast"/>
              <w:jc w:val="center"/>
              <w:rPr>
                <w:rFonts w:hint="eastAsia" w:ascii="宋体" w:hAnsi="宋体" w:cs="宋体"/>
                <w:sz w:val="22"/>
                <w:szCs w:val="22"/>
              </w:rPr>
            </w:pPr>
            <w:r>
              <w:rPr>
                <w:rFonts w:hint="eastAsia" w:ascii="宋体" w:hAnsi="宋体" w:cs="宋体"/>
                <w:sz w:val="22"/>
                <w:szCs w:val="22"/>
              </w:rPr>
              <w:t>5</w:t>
            </w:r>
          </w:p>
        </w:tc>
        <w:tc>
          <w:tcPr>
            <w:tcW w:w="2476" w:type="dxa"/>
            <w:tcBorders>
              <w:top w:val="outset" w:color="auto" w:sz="6" w:space="0"/>
              <w:left w:val="outset" w:color="auto" w:sz="6" w:space="0"/>
              <w:right w:val="outset" w:color="auto" w:sz="6" w:space="0"/>
            </w:tcBorders>
            <w:noWrap w:val="0"/>
            <w:vAlign w:val="center"/>
          </w:tcPr>
          <w:p w14:paraId="00E99FBC">
            <w:pPr>
              <w:adjustRightInd w:val="0"/>
              <w:snapToGrid w:val="0"/>
              <w:jc w:val="center"/>
              <w:rPr>
                <w:rFonts w:hint="eastAsia" w:ascii="宋体" w:hAnsi="宋体" w:cs="宋体"/>
                <w:sz w:val="22"/>
                <w:szCs w:val="22"/>
              </w:rPr>
            </w:pPr>
            <w:r>
              <w:rPr>
                <w:rFonts w:hint="eastAsia" w:ascii="宋体" w:hAnsi="宋体" w:cs="宋体"/>
                <w:sz w:val="22"/>
                <w:szCs w:val="22"/>
              </w:rPr>
              <w:t>门禁系统</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5666227B">
            <w:pPr>
              <w:jc w:val="center"/>
              <w:rPr>
                <w:rFonts w:hint="eastAsia" w:ascii="宋体" w:hAnsi="宋体" w:cs="宋体"/>
                <w:sz w:val="22"/>
                <w:szCs w:val="22"/>
              </w:rPr>
            </w:pPr>
            <w:r>
              <w:rPr>
                <w:rFonts w:hint="eastAsia" w:ascii="宋体" w:hAnsi="宋体" w:cs="宋体"/>
                <w:sz w:val="22"/>
                <w:szCs w:val="22"/>
              </w:rPr>
              <w:t>霍尼韦尔、工创、海康</w:t>
            </w:r>
          </w:p>
        </w:tc>
      </w:tr>
      <w:tr w14:paraId="6402D7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2EE31D89">
            <w:pPr>
              <w:spacing w:line="240" w:lineRule="atLeast"/>
              <w:jc w:val="center"/>
              <w:rPr>
                <w:rFonts w:hint="eastAsia" w:ascii="宋体" w:hAnsi="宋体" w:cs="宋体"/>
                <w:sz w:val="22"/>
                <w:szCs w:val="22"/>
              </w:rPr>
            </w:pPr>
            <w:r>
              <w:rPr>
                <w:rFonts w:hint="eastAsia" w:ascii="宋体" w:hAnsi="宋体" w:cs="宋体"/>
                <w:sz w:val="22"/>
                <w:szCs w:val="22"/>
              </w:rPr>
              <w:t>6</w:t>
            </w:r>
          </w:p>
        </w:tc>
        <w:tc>
          <w:tcPr>
            <w:tcW w:w="2476" w:type="dxa"/>
            <w:tcBorders>
              <w:top w:val="outset" w:color="auto" w:sz="6" w:space="0"/>
              <w:left w:val="outset" w:color="auto" w:sz="6" w:space="0"/>
              <w:right w:val="outset" w:color="auto" w:sz="6" w:space="0"/>
            </w:tcBorders>
            <w:noWrap w:val="0"/>
            <w:vAlign w:val="center"/>
          </w:tcPr>
          <w:p w14:paraId="5BED6FDC">
            <w:pPr>
              <w:jc w:val="center"/>
              <w:rPr>
                <w:rFonts w:hint="eastAsia" w:ascii="宋体" w:hAnsi="宋体" w:cs="宋体"/>
                <w:sz w:val="22"/>
                <w:szCs w:val="22"/>
              </w:rPr>
            </w:pPr>
            <w:r>
              <w:rPr>
                <w:rFonts w:hint="eastAsia" w:ascii="宋体" w:hAnsi="宋体" w:cs="宋体"/>
                <w:sz w:val="22"/>
                <w:szCs w:val="22"/>
              </w:rPr>
              <w:t>停车场管理系统</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368D6145">
            <w:pPr>
              <w:jc w:val="center"/>
              <w:rPr>
                <w:rFonts w:hint="eastAsia" w:ascii="宋体" w:hAnsi="宋体" w:cs="宋体"/>
                <w:sz w:val="22"/>
                <w:szCs w:val="22"/>
              </w:rPr>
            </w:pPr>
            <w:r>
              <w:rPr>
                <w:rFonts w:hint="eastAsia" w:ascii="宋体" w:hAnsi="宋体" w:cs="宋体"/>
                <w:sz w:val="22"/>
                <w:szCs w:val="22"/>
              </w:rPr>
              <w:t>红门、捷顺、博思高、创通智能</w:t>
            </w:r>
          </w:p>
        </w:tc>
      </w:tr>
      <w:tr w14:paraId="35A912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5CF3882B">
            <w:pPr>
              <w:spacing w:line="240" w:lineRule="atLeast"/>
              <w:jc w:val="center"/>
              <w:rPr>
                <w:rFonts w:hint="eastAsia" w:ascii="宋体" w:hAnsi="宋体" w:cs="宋体"/>
                <w:sz w:val="22"/>
                <w:szCs w:val="22"/>
              </w:rPr>
            </w:pPr>
            <w:r>
              <w:rPr>
                <w:rFonts w:hint="eastAsia" w:ascii="宋体" w:hAnsi="宋体" w:cs="宋体"/>
                <w:sz w:val="22"/>
                <w:szCs w:val="22"/>
              </w:rPr>
              <w:t>7</w:t>
            </w:r>
          </w:p>
        </w:tc>
        <w:tc>
          <w:tcPr>
            <w:tcW w:w="2476" w:type="dxa"/>
            <w:tcBorders>
              <w:top w:val="outset" w:color="auto" w:sz="6" w:space="0"/>
              <w:left w:val="outset" w:color="auto" w:sz="6" w:space="0"/>
              <w:right w:val="outset" w:color="auto" w:sz="6" w:space="0"/>
            </w:tcBorders>
            <w:noWrap w:val="0"/>
            <w:vAlign w:val="center"/>
          </w:tcPr>
          <w:p w14:paraId="0B34161A">
            <w:pPr>
              <w:adjustRightInd w:val="0"/>
              <w:snapToGrid w:val="0"/>
              <w:jc w:val="center"/>
              <w:rPr>
                <w:rFonts w:hint="eastAsia" w:ascii="宋体" w:hAnsi="宋体" w:cs="宋体"/>
                <w:sz w:val="22"/>
                <w:szCs w:val="22"/>
              </w:rPr>
            </w:pPr>
            <w:r>
              <w:rPr>
                <w:rFonts w:hint="eastAsia" w:ascii="宋体" w:hAnsi="宋体" w:cs="宋体"/>
                <w:sz w:val="22"/>
                <w:szCs w:val="22"/>
              </w:rPr>
              <w:t>摄像机</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3712E0FB">
            <w:pPr>
              <w:jc w:val="center"/>
              <w:rPr>
                <w:rFonts w:hint="eastAsia" w:ascii="宋体" w:hAnsi="宋体" w:cs="宋体"/>
                <w:sz w:val="22"/>
                <w:szCs w:val="22"/>
              </w:rPr>
            </w:pPr>
            <w:r>
              <w:rPr>
                <w:rFonts w:hint="eastAsia" w:ascii="宋体" w:hAnsi="宋体" w:cs="宋体"/>
                <w:sz w:val="22"/>
                <w:szCs w:val="22"/>
              </w:rPr>
              <w:t>霍尼韦尔、华为、海康威视、</w:t>
            </w:r>
          </w:p>
        </w:tc>
      </w:tr>
      <w:tr w14:paraId="2109A5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6B6A7A1C">
            <w:pPr>
              <w:spacing w:line="240" w:lineRule="atLeast"/>
              <w:jc w:val="center"/>
              <w:rPr>
                <w:rFonts w:hint="eastAsia" w:ascii="宋体" w:hAnsi="宋体" w:cs="宋体"/>
                <w:sz w:val="22"/>
                <w:szCs w:val="22"/>
              </w:rPr>
            </w:pPr>
            <w:r>
              <w:rPr>
                <w:rFonts w:hint="eastAsia" w:ascii="宋体" w:hAnsi="宋体" w:cs="宋体"/>
                <w:sz w:val="22"/>
                <w:szCs w:val="22"/>
              </w:rPr>
              <w:t>8</w:t>
            </w:r>
          </w:p>
        </w:tc>
        <w:tc>
          <w:tcPr>
            <w:tcW w:w="2476" w:type="dxa"/>
            <w:tcBorders>
              <w:top w:val="outset" w:color="auto" w:sz="6" w:space="0"/>
              <w:left w:val="outset" w:color="auto" w:sz="6" w:space="0"/>
              <w:right w:val="outset" w:color="auto" w:sz="6" w:space="0"/>
            </w:tcBorders>
            <w:noWrap w:val="0"/>
            <w:vAlign w:val="center"/>
          </w:tcPr>
          <w:p w14:paraId="75306B15">
            <w:pPr>
              <w:jc w:val="center"/>
              <w:rPr>
                <w:rFonts w:hint="eastAsia" w:ascii="宋体" w:hAnsi="宋体" w:cs="宋体"/>
                <w:sz w:val="22"/>
                <w:szCs w:val="22"/>
              </w:rPr>
            </w:pPr>
            <w:r>
              <w:rPr>
                <w:rFonts w:hint="eastAsia" w:ascii="宋体" w:hAnsi="宋体" w:cs="宋体"/>
                <w:sz w:val="22"/>
                <w:szCs w:val="22"/>
              </w:rPr>
              <w:t>磁盘阵列存储</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5D4546C3">
            <w:pPr>
              <w:jc w:val="center"/>
              <w:rPr>
                <w:rFonts w:hint="eastAsia" w:ascii="宋体" w:hAnsi="宋体" w:cs="宋体"/>
                <w:sz w:val="22"/>
                <w:szCs w:val="22"/>
              </w:rPr>
            </w:pPr>
            <w:r>
              <w:rPr>
                <w:rFonts w:hint="eastAsia" w:ascii="宋体" w:hAnsi="宋体" w:cs="宋体"/>
                <w:sz w:val="22"/>
                <w:szCs w:val="22"/>
              </w:rPr>
              <w:t>H3C(新华三)、大华、海康威视、华为、宇视、科达</w:t>
            </w:r>
          </w:p>
        </w:tc>
      </w:tr>
      <w:tr w14:paraId="1797F8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70D6FA2C">
            <w:pPr>
              <w:spacing w:line="240" w:lineRule="atLeast"/>
              <w:jc w:val="center"/>
              <w:rPr>
                <w:rFonts w:hint="eastAsia" w:ascii="宋体" w:hAnsi="宋体" w:cs="宋体"/>
                <w:sz w:val="22"/>
                <w:szCs w:val="22"/>
              </w:rPr>
            </w:pPr>
            <w:r>
              <w:rPr>
                <w:rFonts w:hint="eastAsia" w:ascii="宋体" w:hAnsi="宋体" w:cs="宋体"/>
                <w:sz w:val="22"/>
                <w:szCs w:val="22"/>
              </w:rPr>
              <w:t>9</w:t>
            </w:r>
          </w:p>
        </w:tc>
        <w:tc>
          <w:tcPr>
            <w:tcW w:w="2476" w:type="dxa"/>
            <w:tcBorders>
              <w:top w:val="outset" w:color="auto" w:sz="6" w:space="0"/>
              <w:left w:val="outset" w:color="auto" w:sz="6" w:space="0"/>
              <w:right w:val="outset" w:color="auto" w:sz="6" w:space="0"/>
            </w:tcBorders>
            <w:noWrap w:val="0"/>
            <w:vAlign w:val="center"/>
          </w:tcPr>
          <w:p w14:paraId="332F4EB9">
            <w:pPr>
              <w:spacing w:line="240" w:lineRule="atLeast"/>
              <w:jc w:val="center"/>
              <w:rPr>
                <w:rFonts w:hint="eastAsia" w:ascii="宋体" w:hAnsi="宋体" w:cs="宋体"/>
                <w:sz w:val="22"/>
                <w:szCs w:val="22"/>
              </w:rPr>
            </w:pPr>
            <w:r>
              <w:rPr>
                <w:rFonts w:hint="eastAsia" w:ascii="宋体" w:hAnsi="宋体" w:cs="宋体"/>
                <w:sz w:val="22"/>
                <w:szCs w:val="22"/>
              </w:rPr>
              <w:t>硬盘录像机</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413220B0">
            <w:pPr>
              <w:jc w:val="center"/>
              <w:rPr>
                <w:rFonts w:hint="eastAsia" w:ascii="宋体" w:hAnsi="宋体" w:cs="宋体"/>
                <w:sz w:val="22"/>
                <w:szCs w:val="22"/>
              </w:rPr>
            </w:pPr>
            <w:r>
              <w:rPr>
                <w:rFonts w:hint="eastAsia" w:ascii="宋体" w:hAnsi="宋体" w:cs="宋体"/>
                <w:sz w:val="22"/>
                <w:szCs w:val="22"/>
              </w:rPr>
              <w:t>海康威视、大华、英飞拓、霍尼韦尔、科达</w:t>
            </w:r>
          </w:p>
        </w:tc>
      </w:tr>
      <w:tr w14:paraId="7FD03F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3187696D">
            <w:pPr>
              <w:spacing w:line="240" w:lineRule="atLeast"/>
              <w:jc w:val="center"/>
              <w:rPr>
                <w:rFonts w:hint="eastAsia" w:ascii="宋体" w:hAnsi="宋体" w:cs="宋体"/>
                <w:sz w:val="22"/>
                <w:szCs w:val="22"/>
              </w:rPr>
            </w:pPr>
            <w:r>
              <w:rPr>
                <w:rFonts w:hint="eastAsia" w:ascii="宋体" w:hAnsi="宋体" w:cs="宋体"/>
                <w:sz w:val="22"/>
                <w:szCs w:val="22"/>
              </w:rPr>
              <w:t>10</w:t>
            </w:r>
          </w:p>
        </w:tc>
        <w:tc>
          <w:tcPr>
            <w:tcW w:w="2476" w:type="dxa"/>
            <w:tcBorders>
              <w:top w:val="outset" w:color="auto" w:sz="6" w:space="0"/>
              <w:left w:val="outset" w:color="auto" w:sz="6" w:space="0"/>
              <w:right w:val="outset" w:color="auto" w:sz="6" w:space="0"/>
            </w:tcBorders>
            <w:noWrap w:val="0"/>
            <w:vAlign w:val="center"/>
          </w:tcPr>
          <w:p w14:paraId="3027FA90">
            <w:pPr>
              <w:jc w:val="center"/>
              <w:rPr>
                <w:rFonts w:hint="eastAsia" w:ascii="宋体" w:hAnsi="宋体" w:cs="宋体"/>
                <w:sz w:val="22"/>
                <w:szCs w:val="22"/>
              </w:rPr>
            </w:pPr>
            <w:r>
              <w:rPr>
                <w:rFonts w:hint="eastAsia" w:ascii="宋体" w:hAnsi="宋体" w:cs="宋体"/>
                <w:sz w:val="22"/>
                <w:szCs w:val="22"/>
              </w:rPr>
              <w:t>光端机</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6C4B4E12">
            <w:pPr>
              <w:jc w:val="center"/>
              <w:rPr>
                <w:rFonts w:hint="eastAsia" w:ascii="宋体" w:hAnsi="宋体" w:cs="宋体"/>
                <w:sz w:val="22"/>
                <w:szCs w:val="22"/>
              </w:rPr>
            </w:pPr>
            <w:r>
              <w:rPr>
                <w:rFonts w:hint="eastAsia" w:ascii="宋体" w:hAnsi="宋体" w:cs="宋体"/>
                <w:sz w:val="22"/>
                <w:szCs w:val="22"/>
              </w:rPr>
              <w:t>华为、英飞拓、中兴</w:t>
            </w:r>
          </w:p>
        </w:tc>
      </w:tr>
      <w:tr w14:paraId="59898D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2D615A04">
            <w:pPr>
              <w:spacing w:line="240" w:lineRule="atLeast"/>
              <w:jc w:val="center"/>
              <w:rPr>
                <w:rFonts w:hint="eastAsia" w:ascii="宋体" w:hAnsi="宋体" w:cs="宋体"/>
                <w:sz w:val="22"/>
                <w:szCs w:val="22"/>
              </w:rPr>
            </w:pPr>
            <w:r>
              <w:rPr>
                <w:rFonts w:hint="eastAsia" w:ascii="宋体" w:hAnsi="宋体" w:cs="宋体"/>
                <w:sz w:val="22"/>
                <w:szCs w:val="22"/>
              </w:rPr>
              <w:t>11</w:t>
            </w:r>
          </w:p>
        </w:tc>
        <w:tc>
          <w:tcPr>
            <w:tcW w:w="2476" w:type="dxa"/>
            <w:tcBorders>
              <w:top w:val="outset" w:color="auto" w:sz="6" w:space="0"/>
              <w:left w:val="outset" w:color="auto" w:sz="6" w:space="0"/>
              <w:right w:val="outset" w:color="auto" w:sz="6" w:space="0"/>
            </w:tcBorders>
            <w:noWrap w:val="0"/>
            <w:vAlign w:val="center"/>
          </w:tcPr>
          <w:p w14:paraId="230FD90F">
            <w:pPr>
              <w:adjustRightInd w:val="0"/>
              <w:snapToGrid w:val="0"/>
              <w:jc w:val="center"/>
              <w:rPr>
                <w:rFonts w:hint="eastAsia" w:ascii="宋体" w:hAnsi="宋体" w:cs="宋体"/>
                <w:sz w:val="22"/>
                <w:szCs w:val="22"/>
              </w:rPr>
            </w:pPr>
            <w:r>
              <w:rPr>
                <w:rFonts w:hint="eastAsia" w:ascii="宋体" w:hAnsi="宋体" w:cs="宋体"/>
                <w:sz w:val="22"/>
                <w:szCs w:val="22"/>
              </w:rPr>
              <w:t>网络交换机</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518DB2EE">
            <w:pPr>
              <w:jc w:val="center"/>
              <w:rPr>
                <w:rFonts w:hint="eastAsia" w:ascii="宋体" w:hAnsi="宋体" w:cs="宋体"/>
                <w:sz w:val="22"/>
                <w:szCs w:val="22"/>
              </w:rPr>
            </w:pPr>
            <w:r>
              <w:rPr>
                <w:rFonts w:hint="eastAsia" w:ascii="宋体" w:hAnsi="宋体" w:cs="宋体"/>
                <w:sz w:val="22"/>
                <w:szCs w:val="22"/>
              </w:rPr>
              <w:t>H3C(新华三)、华为、锐捷、海康威视、信锐技术、中兴</w:t>
            </w:r>
          </w:p>
        </w:tc>
      </w:tr>
      <w:tr w14:paraId="4EADEA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76" w:type="dxa"/>
            <w:tcBorders>
              <w:top w:val="outset" w:color="auto" w:sz="6" w:space="0"/>
              <w:left w:val="outset" w:color="auto" w:sz="6" w:space="0"/>
              <w:right w:val="outset" w:color="auto" w:sz="6" w:space="0"/>
            </w:tcBorders>
            <w:noWrap w:val="0"/>
            <w:vAlign w:val="center"/>
          </w:tcPr>
          <w:p w14:paraId="5FF2881A">
            <w:pPr>
              <w:spacing w:line="240" w:lineRule="atLeast"/>
              <w:jc w:val="center"/>
              <w:rPr>
                <w:rFonts w:hint="eastAsia" w:ascii="宋体" w:hAnsi="宋体" w:cs="宋体"/>
                <w:sz w:val="22"/>
                <w:szCs w:val="22"/>
              </w:rPr>
            </w:pPr>
            <w:r>
              <w:rPr>
                <w:rFonts w:hint="eastAsia" w:ascii="宋体" w:hAnsi="宋体" w:cs="宋体"/>
                <w:sz w:val="22"/>
                <w:szCs w:val="22"/>
              </w:rPr>
              <w:t>12</w:t>
            </w:r>
          </w:p>
        </w:tc>
        <w:tc>
          <w:tcPr>
            <w:tcW w:w="2476" w:type="dxa"/>
            <w:tcBorders>
              <w:top w:val="outset" w:color="auto" w:sz="6" w:space="0"/>
              <w:left w:val="outset" w:color="auto" w:sz="6" w:space="0"/>
              <w:right w:val="outset" w:color="auto" w:sz="6" w:space="0"/>
            </w:tcBorders>
            <w:noWrap w:val="0"/>
            <w:vAlign w:val="center"/>
          </w:tcPr>
          <w:p w14:paraId="56DCABF4">
            <w:pPr>
              <w:jc w:val="center"/>
              <w:rPr>
                <w:rFonts w:hint="eastAsia" w:ascii="宋体" w:hAnsi="宋体" w:cs="宋体"/>
                <w:sz w:val="22"/>
                <w:szCs w:val="22"/>
              </w:rPr>
            </w:pPr>
            <w:r>
              <w:rPr>
                <w:rFonts w:hint="eastAsia" w:ascii="宋体" w:hAnsi="宋体" w:cs="宋体"/>
                <w:sz w:val="22"/>
                <w:szCs w:val="22"/>
              </w:rPr>
              <w:t>监视器</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52D0A780">
            <w:pPr>
              <w:jc w:val="center"/>
              <w:rPr>
                <w:rFonts w:hint="eastAsia" w:ascii="宋体" w:hAnsi="宋体" w:cs="宋体"/>
                <w:sz w:val="22"/>
                <w:szCs w:val="22"/>
              </w:rPr>
            </w:pPr>
            <w:r>
              <w:rPr>
                <w:rFonts w:hint="eastAsia" w:ascii="宋体" w:hAnsi="宋体" w:cs="宋体"/>
                <w:sz w:val="22"/>
                <w:szCs w:val="22"/>
              </w:rPr>
              <w:t>创维、响石、大华</w:t>
            </w:r>
          </w:p>
        </w:tc>
      </w:tr>
      <w:tr w14:paraId="1B0652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1392A4F4">
            <w:pPr>
              <w:spacing w:line="240" w:lineRule="atLeast"/>
              <w:jc w:val="center"/>
              <w:rPr>
                <w:rFonts w:hint="eastAsia" w:ascii="宋体" w:hAnsi="宋体" w:cs="宋体"/>
                <w:sz w:val="22"/>
                <w:szCs w:val="22"/>
              </w:rPr>
            </w:pPr>
            <w:r>
              <w:rPr>
                <w:rFonts w:hint="eastAsia" w:ascii="宋体" w:hAnsi="宋体" w:cs="宋体"/>
                <w:sz w:val="22"/>
                <w:szCs w:val="22"/>
              </w:rPr>
              <w:t>13</w:t>
            </w:r>
          </w:p>
        </w:tc>
        <w:tc>
          <w:tcPr>
            <w:tcW w:w="2476" w:type="dxa"/>
            <w:tcBorders>
              <w:top w:val="outset" w:color="auto" w:sz="6" w:space="0"/>
              <w:left w:val="outset" w:color="auto" w:sz="6" w:space="0"/>
              <w:right w:val="outset" w:color="auto" w:sz="6" w:space="0"/>
            </w:tcBorders>
            <w:noWrap w:val="0"/>
            <w:vAlign w:val="center"/>
          </w:tcPr>
          <w:p w14:paraId="0F2C6FC6">
            <w:pPr>
              <w:spacing w:line="240" w:lineRule="atLeast"/>
              <w:jc w:val="center"/>
              <w:rPr>
                <w:rFonts w:hint="eastAsia" w:ascii="宋体" w:hAnsi="宋体" w:cs="宋体"/>
                <w:sz w:val="22"/>
                <w:szCs w:val="22"/>
              </w:rPr>
            </w:pPr>
            <w:r>
              <w:rPr>
                <w:rFonts w:hint="eastAsia" w:ascii="宋体" w:hAnsi="宋体" w:cs="宋体"/>
                <w:sz w:val="22"/>
                <w:szCs w:val="22"/>
              </w:rPr>
              <w:t>背景音乐及消防广播</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0DDAA370">
            <w:pPr>
              <w:jc w:val="center"/>
              <w:rPr>
                <w:rFonts w:hint="eastAsia" w:ascii="宋体" w:hAnsi="宋体" w:cs="宋体"/>
                <w:sz w:val="22"/>
                <w:szCs w:val="22"/>
              </w:rPr>
            </w:pPr>
            <w:r>
              <w:rPr>
                <w:rFonts w:hint="eastAsia" w:ascii="宋体" w:hAnsi="宋体" w:cs="宋体"/>
                <w:sz w:val="22"/>
                <w:szCs w:val="22"/>
              </w:rPr>
              <w:t>博世、TOA、百威</w:t>
            </w:r>
          </w:p>
        </w:tc>
      </w:tr>
      <w:tr w14:paraId="4847CB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2DF43A4F">
            <w:pPr>
              <w:spacing w:line="240" w:lineRule="atLeast"/>
              <w:jc w:val="center"/>
              <w:rPr>
                <w:rFonts w:hint="eastAsia" w:ascii="宋体" w:hAnsi="宋体" w:cs="宋体"/>
                <w:sz w:val="22"/>
                <w:szCs w:val="22"/>
              </w:rPr>
            </w:pPr>
            <w:r>
              <w:rPr>
                <w:rFonts w:hint="eastAsia" w:ascii="宋体" w:hAnsi="宋体" w:cs="宋体"/>
                <w:sz w:val="22"/>
                <w:szCs w:val="22"/>
              </w:rPr>
              <w:t>14</w:t>
            </w:r>
          </w:p>
        </w:tc>
        <w:tc>
          <w:tcPr>
            <w:tcW w:w="2476" w:type="dxa"/>
            <w:tcBorders>
              <w:top w:val="outset" w:color="auto" w:sz="6" w:space="0"/>
              <w:left w:val="outset" w:color="auto" w:sz="6" w:space="0"/>
              <w:right w:val="outset" w:color="auto" w:sz="6" w:space="0"/>
            </w:tcBorders>
            <w:noWrap w:val="0"/>
            <w:vAlign w:val="center"/>
          </w:tcPr>
          <w:p w14:paraId="69A7B3C5">
            <w:pPr>
              <w:spacing w:line="240" w:lineRule="atLeast"/>
              <w:jc w:val="center"/>
              <w:rPr>
                <w:rFonts w:hint="eastAsia" w:ascii="宋体" w:hAnsi="宋体" w:cs="宋体"/>
                <w:sz w:val="22"/>
                <w:szCs w:val="22"/>
              </w:rPr>
            </w:pPr>
            <w:r>
              <w:rPr>
                <w:rFonts w:hint="eastAsia" w:ascii="宋体" w:hAnsi="宋体" w:cs="宋体"/>
                <w:sz w:val="22"/>
                <w:szCs w:val="22"/>
              </w:rPr>
              <w:t>防盗报警</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775A04A4">
            <w:pPr>
              <w:jc w:val="center"/>
              <w:rPr>
                <w:rFonts w:hint="eastAsia" w:ascii="宋体" w:hAnsi="宋体" w:cs="宋体"/>
                <w:sz w:val="22"/>
                <w:szCs w:val="22"/>
              </w:rPr>
            </w:pPr>
            <w:r>
              <w:rPr>
                <w:rFonts w:hint="eastAsia" w:ascii="宋体" w:hAnsi="宋体" w:cs="宋体"/>
                <w:sz w:val="22"/>
                <w:szCs w:val="22"/>
              </w:rPr>
              <w:t>霍尼韦尔、博世、艾礼富、PARADOX</w:t>
            </w:r>
          </w:p>
        </w:tc>
      </w:tr>
      <w:tr w14:paraId="2977A3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4A6A4961">
            <w:pPr>
              <w:spacing w:line="240" w:lineRule="atLeast"/>
              <w:jc w:val="center"/>
              <w:rPr>
                <w:rFonts w:hint="eastAsia" w:ascii="宋体" w:hAnsi="宋体" w:cs="宋体"/>
                <w:sz w:val="22"/>
                <w:szCs w:val="22"/>
              </w:rPr>
            </w:pPr>
            <w:r>
              <w:rPr>
                <w:rFonts w:hint="eastAsia" w:ascii="宋体" w:hAnsi="宋体" w:cs="宋体"/>
                <w:sz w:val="22"/>
                <w:szCs w:val="22"/>
              </w:rPr>
              <w:t>15</w:t>
            </w:r>
          </w:p>
        </w:tc>
        <w:tc>
          <w:tcPr>
            <w:tcW w:w="2476" w:type="dxa"/>
            <w:tcBorders>
              <w:top w:val="outset" w:color="auto" w:sz="6" w:space="0"/>
              <w:left w:val="outset" w:color="auto" w:sz="6" w:space="0"/>
              <w:right w:val="outset" w:color="auto" w:sz="6" w:space="0"/>
            </w:tcBorders>
            <w:noWrap w:val="0"/>
            <w:vAlign w:val="center"/>
          </w:tcPr>
          <w:p w14:paraId="3DF8C46B">
            <w:pPr>
              <w:spacing w:line="240" w:lineRule="atLeast"/>
              <w:jc w:val="center"/>
              <w:rPr>
                <w:rFonts w:hint="eastAsia" w:ascii="宋体" w:hAnsi="宋体" w:cs="宋体"/>
                <w:sz w:val="22"/>
                <w:szCs w:val="22"/>
              </w:rPr>
            </w:pPr>
            <w:r>
              <w:rPr>
                <w:rFonts w:hint="eastAsia" w:ascii="宋体" w:hAnsi="宋体" w:cs="宋体"/>
                <w:sz w:val="22"/>
                <w:szCs w:val="22"/>
              </w:rPr>
              <w:t>能耗监测</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6F23DC96">
            <w:pPr>
              <w:jc w:val="center"/>
              <w:rPr>
                <w:rFonts w:hint="eastAsia" w:ascii="宋体" w:hAnsi="宋体" w:cs="宋体"/>
                <w:sz w:val="22"/>
                <w:szCs w:val="22"/>
              </w:rPr>
            </w:pPr>
            <w:r>
              <w:rPr>
                <w:rFonts w:hint="eastAsia" w:ascii="宋体" w:hAnsi="宋体" w:cs="宋体"/>
                <w:sz w:val="22"/>
                <w:szCs w:val="22"/>
              </w:rPr>
              <w:t>中电、派诺、南京天溯、海亿达</w:t>
            </w:r>
          </w:p>
        </w:tc>
      </w:tr>
      <w:tr w14:paraId="18C3FC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4EAF1BFB">
            <w:pPr>
              <w:spacing w:line="240" w:lineRule="atLeast"/>
              <w:jc w:val="center"/>
              <w:rPr>
                <w:rFonts w:hint="eastAsia" w:ascii="宋体" w:hAnsi="宋体" w:cs="宋体"/>
                <w:sz w:val="22"/>
                <w:szCs w:val="22"/>
              </w:rPr>
            </w:pPr>
            <w:r>
              <w:rPr>
                <w:rFonts w:hint="eastAsia" w:ascii="宋体" w:hAnsi="宋体" w:cs="宋体"/>
                <w:sz w:val="22"/>
                <w:szCs w:val="22"/>
              </w:rPr>
              <w:t>16</w:t>
            </w:r>
          </w:p>
        </w:tc>
        <w:tc>
          <w:tcPr>
            <w:tcW w:w="2476" w:type="dxa"/>
            <w:tcBorders>
              <w:top w:val="outset" w:color="auto" w:sz="6" w:space="0"/>
              <w:left w:val="outset" w:color="auto" w:sz="6" w:space="0"/>
              <w:right w:val="outset" w:color="auto" w:sz="6" w:space="0"/>
            </w:tcBorders>
            <w:noWrap w:val="0"/>
            <w:vAlign w:val="center"/>
          </w:tcPr>
          <w:p w14:paraId="6D88C154">
            <w:pPr>
              <w:adjustRightInd w:val="0"/>
              <w:snapToGrid w:val="0"/>
              <w:jc w:val="center"/>
              <w:rPr>
                <w:rFonts w:hint="eastAsia" w:ascii="宋体" w:hAnsi="宋体" w:cs="宋体"/>
                <w:sz w:val="22"/>
                <w:szCs w:val="22"/>
              </w:rPr>
            </w:pPr>
            <w:r>
              <w:rPr>
                <w:rFonts w:hint="eastAsia" w:ascii="宋体" w:hAnsi="宋体" w:cs="宋体"/>
                <w:sz w:val="22"/>
                <w:szCs w:val="22"/>
              </w:rPr>
              <w:t>护理呼叫</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43FD72B6">
            <w:pPr>
              <w:adjustRightInd w:val="0"/>
              <w:snapToGrid w:val="0"/>
              <w:jc w:val="center"/>
              <w:rPr>
                <w:rFonts w:hint="eastAsia" w:ascii="宋体" w:hAnsi="宋体" w:cs="宋体"/>
                <w:sz w:val="22"/>
                <w:szCs w:val="22"/>
              </w:rPr>
            </w:pPr>
            <w:r>
              <w:rPr>
                <w:rFonts w:hint="eastAsia" w:ascii="宋体" w:hAnsi="宋体" w:cs="宋体"/>
                <w:sz w:val="22"/>
                <w:szCs w:val="22"/>
              </w:rPr>
              <w:t>来邦、德亮、SRC、佛山飞星、日本爱峰</w:t>
            </w:r>
          </w:p>
        </w:tc>
      </w:tr>
      <w:tr w14:paraId="08B34F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03543FEB">
            <w:pPr>
              <w:spacing w:line="240" w:lineRule="atLeast"/>
              <w:jc w:val="center"/>
              <w:rPr>
                <w:rFonts w:hint="eastAsia" w:ascii="宋体" w:hAnsi="宋体" w:cs="宋体"/>
                <w:sz w:val="22"/>
                <w:szCs w:val="22"/>
              </w:rPr>
            </w:pPr>
            <w:r>
              <w:rPr>
                <w:rFonts w:hint="eastAsia" w:ascii="宋体" w:hAnsi="宋体" w:cs="宋体"/>
                <w:sz w:val="22"/>
                <w:szCs w:val="22"/>
              </w:rPr>
              <w:t>17</w:t>
            </w:r>
          </w:p>
        </w:tc>
        <w:tc>
          <w:tcPr>
            <w:tcW w:w="2476" w:type="dxa"/>
            <w:tcBorders>
              <w:top w:val="outset" w:color="auto" w:sz="6" w:space="0"/>
              <w:left w:val="outset" w:color="auto" w:sz="6" w:space="0"/>
              <w:right w:val="outset" w:color="auto" w:sz="6" w:space="0"/>
            </w:tcBorders>
            <w:noWrap w:val="0"/>
            <w:vAlign w:val="center"/>
          </w:tcPr>
          <w:p w14:paraId="1BB3205D">
            <w:pPr>
              <w:jc w:val="center"/>
              <w:rPr>
                <w:rFonts w:hint="eastAsia" w:ascii="宋体" w:hAnsi="宋体" w:cs="宋体"/>
                <w:sz w:val="22"/>
                <w:szCs w:val="22"/>
              </w:rPr>
            </w:pPr>
            <w:r>
              <w:rPr>
                <w:rFonts w:hint="eastAsia" w:ascii="宋体" w:hAnsi="宋体" w:cs="宋体"/>
                <w:sz w:val="22"/>
                <w:szCs w:val="22"/>
              </w:rPr>
              <w:t>浪涌保护器</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514F7CE1">
            <w:pPr>
              <w:jc w:val="center"/>
              <w:rPr>
                <w:rFonts w:hint="eastAsia" w:ascii="宋体" w:hAnsi="宋体" w:cs="宋体"/>
                <w:sz w:val="22"/>
                <w:szCs w:val="22"/>
              </w:rPr>
            </w:pPr>
            <w:r>
              <w:rPr>
                <w:rFonts w:hint="eastAsia" w:ascii="宋体" w:hAnsi="宋体" w:cs="宋体"/>
                <w:sz w:val="22"/>
                <w:szCs w:val="22"/>
              </w:rPr>
              <w:t>OBO、DEHN、菲尼克斯</w:t>
            </w:r>
          </w:p>
        </w:tc>
      </w:tr>
      <w:tr w14:paraId="3E9874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05CDFB69">
            <w:pPr>
              <w:spacing w:line="240" w:lineRule="atLeast"/>
              <w:jc w:val="center"/>
              <w:rPr>
                <w:rFonts w:hint="eastAsia" w:ascii="宋体" w:hAnsi="宋体" w:cs="宋体"/>
                <w:sz w:val="22"/>
                <w:szCs w:val="22"/>
              </w:rPr>
            </w:pPr>
            <w:r>
              <w:rPr>
                <w:rFonts w:hint="eastAsia" w:ascii="宋体" w:hAnsi="宋体" w:cs="宋体"/>
                <w:sz w:val="22"/>
                <w:szCs w:val="22"/>
              </w:rPr>
              <w:t>18</w:t>
            </w:r>
          </w:p>
        </w:tc>
        <w:tc>
          <w:tcPr>
            <w:tcW w:w="2476" w:type="dxa"/>
            <w:tcBorders>
              <w:top w:val="outset" w:color="auto" w:sz="6" w:space="0"/>
              <w:left w:val="outset" w:color="auto" w:sz="6" w:space="0"/>
              <w:right w:val="outset" w:color="auto" w:sz="6" w:space="0"/>
            </w:tcBorders>
            <w:noWrap w:val="0"/>
            <w:vAlign w:val="center"/>
          </w:tcPr>
          <w:p w14:paraId="28EC6883">
            <w:pPr>
              <w:jc w:val="center"/>
              <w:rPr>
                <w:rFonts w:hint="eastAsia" w:ascii="宋体" w:hAnsi="宋体" w:cs="宋体"/>
                <w:sz w:val="22"/>
                <w:szCs w:val="22"/>
              </w:rPr>
            </w:pPr>
            <w:r>
              <w:rPr>
                <w:rFonts w:hint="eastAsia" w:ascii="宋体" w:hAnsi="宋体" w:cs="宋体"/>
                <w:sz w:val="22"/>
                <w:szCs w:val="22"/>
              </w:rPr>
              <w:t>防静电地板</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72D5E7FA">
            <w:pPr>
              <w:jc w:val="center"/>
              <w:rPr>
                <w:rFonts w:hint="eastAsia" w:ascii="宋体" w:hAnsi="宋体" w:cs="宋体"/>
                <w:sz w:val="22"/>
                <w:szCs w:val="22"/>
              </w:rPr>
            </w:pPr>
            <w:r>
              <w:rPr>
                <w:rFonts w:hint="eastAsia" w:ascii="宋体" w:hAnsi="宋体" w:cs="宋体"/>
                <w:sz w:val="22"/>
                <w:szCs w:val="22"/>
              </w:rPr>
              <w:t>美露（MERO）、华集、林德纳</w:t>
            </w:r>
          </w:p>
        </w:tc>
      </w:tr>
      <w:tr w14:paraId="06F996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7274BC7C">
            <w:pPr>
              <w:spacing w:line="240" w:lineRule="atLeast"/>
              <w:jc w:val="center"/>
              <w:rPr>
                <w:rFonts w:hint="eastAsia" w:ascii="宋体" w:hAnsi="宋体" w:cs="宋体"/>
                <w:sz w:val="22"/>
                <w:szCs w:val="22"/>
              </w:rPr>
            </w:pPr>
            <w:r>
              <w:rPr>
                <w:rFonts w:hint="eastAsia" w:ascii="宋体" w:hAnsi="宋体" w:cs="宋体"/>
                <w:sz w:val="22"/>
                <w:szCs w:val="22"/>
              </w:rPr>
              <w:t>19</w:t>
            </w:r>
          </w:p>
        </w:tc>
        <w:tc>
          <w:tcPr>
            <w:tcW w:w="2476" w:type="dxa"/>
            <w:tcBorders>
              <w:top w:val="outset" w:color="auto" w:sz="6" w:space="0"/>
              <w:left w:val="outset" w:color="auto" w:sz="6" w:space="0"/>
              <w:right w:val="outset" w:color="auto" w:sz="6" w:space="0"/>
            </w:tcBorders>
            <w:noWrap w:val="0"/>
            <w:vAlign w:val="center"/>
          </w:tcPr>
          <w:p w14:paraId="70DD6E0A">
            <w:pPr>
              <w:jc w:val="center"/>
              <w:rPr>
                <w:rFonts w:hint="eastAsia" w:ascii="宋体" w:hAnsi="宋体" w:cs="宋体"/>
                <w:sz w:val="22"/>
                <w:szCs w:val="22"/>
              </w:rPr>
            </w:pPr>
            <w:r>
              <w:rPr>
                <w:rFonts w:hint="eastAsia" w:ascii="宋体" w:hAnsi="宋体" w:cs="宋体"/>
                <w:sz w:val="22"/>
                <w:szCs w:val="22"/>
              </w:rPr>
              <w:t>UPS电池（铅酸蓄电池）</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2A165C8E">
            <w:pPr>
              <w:jc w:val="center"/>
              <w:rPr>
                <w:rFonts w:hint="eastAsia" w:ascii="宋体" w:hAnsi="宋体" w:cs="宋体"/>
                <w:sz w:val="22"/>
                <w:szCs w:val="22"/>
              </w:rPr>
            </w:pPr>
            <w:r>
              <w:rPr>
                <w:rFonts w:hint="eastAsia" w:ascii="宋体" w:hAnsi="宋体" w:cs="宋体"/>
                <w:sz w:val="22"/>
                <w:szCs w:val="22"/>
              </w:rPr>
              <w:t>风帆、双登、南都、理士、HOPPECKE（荷贝克）</w:t>
            </w:r>
          </w:p>
        </w:tc>
      </w:tr>
      <w:tr w14:paraId="1791E2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6" w:type="dxa"/>
            <w:tcBorders>
              <w:top w:val="outset" w:color="auto" w:sz="6" w:space="0"/>
              <w:left w:val="outset" w:color="auto" w:sz="6" w:space="0"/>
              <w:right w:val="outset" w:color="auto" w:sz="6" w:space="0"/>
            </w:tcBorders>
            <w:noWrap w:val="0"/>
            <w:vAlign w:val="center"/>
          </w:tcPr>
          <w:p w14:paraId="5057350C">
            <w:pPr>
              <w:spacing w:line="240" w:lineRule="atLeast"/>
              <w:jc w:val="center"/>
              <w:rPr>
                <w:rFonts w:hint="eastAsia" w:ascii="宋体" w:hAnsi="宋体" w:cs="宋体"/>
                <w:sz w:val="22"/>
                <w:szCs w:val="22"/>
              </w:rPr>
            </w:pPr>
            <w:r>
              <w:rPr>
                <w:rFonts w:hint="eastAsia" w:ascii="宋体" w:hAnsi="宋体" w:cs="宋体"/>
                <w:sz w:val="22"/>
                <w:szCs w:val="22"/>
              </w:rPr>
              <w:t>20</w:t>
            </w:r>
          </w:p>
        </w:tc>
        <w:tc>
          <w:tcPr>
            <w:tcW w:w="2476" w:type="dxa"/>
            <w:tcBorders>
              <w:top w:val="outset" w:color="auto" w:sz="6" w:space="0"/>
              <w:left w:val="outset" w:color="auto" w:sz="6" w:space="0"/>
              <w:right w:val="outset" w:color="auto" w:sz="6" w:space="0"/>
            </w:tcBorders>
            <w:noWrap w:val="0"/>
            <w:vAlign w:val="center"/>
          </w:tcPr>
          <w:p w14:paraId="2509B913">
            <w:pPr>
              <w:jc w:val="center"/>
              <w:rPr>
                <w:rFonts w:hint="eastAsia" w:ascii="宋体" w:hAnsi="宋体" w:cs="宋体"/>
                <w:sz w:val="22"/>
                <w:szCs w:val="22"/>
              </w:rPr>
            </w:pPr>
            <w:r>
              <w:rPr>
                <w:rFonts w:hint="eastAsia" w:ascii="宋体" w:hAnsi="宋体" w:cs="宋体"/>
                <w:sz w:val="22"/>
                <w:szCs w:val="22"/>
              </w:rPr>
              <w:t>弱电类：网线、电话线、水晶头、RVVP信号控制线、网线钳、网络沿线仪、交换机、压线帽、扎带</w:t>
            </w:r>
          </w:p>
        </w:tc>
        <w:tc>
          <w:tcPr>
            <w:tcW w:w="5305" w:type="dxa"/>
            <w:tcBorders>
              <w:top w:val="outset" w:color="auto" w:sz="6" w:space="0"/>
              <w:left w:val="outset" w:color="auto" w:sz="6" w:space="0"/>
              <w:bottom w:val="outset" w:color="auto" w:sz="6" w:space="0"/>
              <w:right w:val="outset" w:color="auto" w:sz="6" w:space="0"/>
            </w:tcBorders>
            <w:noWrap w:val="0"/>
            <w:vAlign w:val="center"/>
          </w:tcPr>
          <w:p w14:paraId="18117E5E">
            <w:pPr>
              <w:jc w:val="center"/>
              <w:rPr>
                <w:rFonts w:hint="eastAsia" w:ascii="宋体" w:hAnsi="宋体" w:cs="宋体"/>
                <w:sz w:val="22"/>
                <w:szCs w:val="22"/>
              </w:rPr>
            </w:pPr>
            <w:r>
              <w:rPr>
                <w:rFonts w:hint="eastAsia" w:ascii="宋体" w:hAnsi="宋体" w:cs="宋体"/>
                <w:sz w:val="22"/>
                <w:szCs w:val="22"/>
              </w:rPr>
              <w:t>山泽、绿联、飞利浦、中国普天</w:t>
            </w:r>
          </w:p>
        </w:tc>
      </w:tr>
    </w:tbl>
    <w:p w14:paraId="3090FF7B">
      <w:pPr>
        <w:rPr>
          <w:rFonts w:hint="eastAsia" w:ascii="宋体" w:hAnsi="宋体" w:cs="宋体"/>
          <w:b/>
          <w:szCs w:val="21"/>
        </w:rPr>
      </w:pPr>
    </w:p>
    <w:p w14:paraId="11F0E56C">
      <w:pPr>
        <w:rPr>
          <w:rFonts w:hint="eastAsia" w:ascii="宋体" w:hAnsi="宋体" w:cs="宋体"/>
          <w:b/>
          <w:szCs w:val="21"/>
        </w:rPr>
      </w:pPr>
    </w:p>
    <w:p w14:paraId="1FB32EEA">
      <w:pPr>
        <w:jc w:val="center"/>
        <w:rPr>
          <w:rFonts w:hint="eastAsia" w:ascii="宋体" w:hAnsi="宋体" w:cs="宋体"/>
          <w:b/>
          <w:sz w:val="22"/>
          <w:szCs w:val="22"/>
        </w:rPr>
      </w:pPr>
      <w:r>
        <w:rPr>
          <w:rFonts w:hint="eastAsia" w:ascii="宋体" w:hAnsi="宋体" w:cs="宋体"/>
          <w:b/>
          <w:sz w:val="22"/>
          <w:szCs w:val="22"/>
        </w:rPr>
        <w:t>给排水强材料设备参考品牌库</w:t>
      </w:r>
    </w:p>
    <w:tbl>
      <w:tblPr>
        <w:tblStyle w:val="9"/>
        <w:tblpPr w:leftFromText="180" w:rightFromText="180" w:vertAnchor="text" w:tblpXSpec="center" w:tblpY="1"/>
        <w:tblOverlap w:val="never"/>
        <w:tblW w:w="836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70"/>
        <w:gridCol w:w="2452"/>
        <w:gridCol w:w="5245"/>
      </w:tblGrid>
      <w:tr w14:paraId="4CF289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7A30E77A">
            <w:pPr>
              <w:spacing w:line="240" w:lineRule="atLeast"/>
              <w:jc w:val="center"/>
              <w:rPr>
                <w:rFonts w:hint="eastAsia" w:ascii="宋体" w:hAnsi="宋体" w:cs="宋体"/>
                <w:b/>
                <w:sz w:val="22"/>
                <w:szCs w:val="22"/>
              </w:rPr>
            </w:pPr>
            <w:r>
              <w:rPr>
                <w:rFonts w:hint="eastAsia" w:ascii="宋体" w:hAnsi="宋体" w:cs="宋体"/>
                <w:b/>
                <w:sz w:val="22"/>
                <w:szCs w:val="22"/>
              </w:rPr>
              <w:t>编号</w:t>
            </w:r>
          </w:p>
        </w:tc>
        <w:tc>
          <w:tcPr>
            <w:tcW w:w="2452" w:type="dxa"/>
            <w:tcBorders>
              <w:top w:val="outset" w:color="auto" w:sz="6" w:space="0"/>
              <w:left w:val="outset" w:color="auto" w:sz="6" w:space="0"/>
              <w:right w:val="outset" w:color="auto" w:sz="6" w:space="0"/>
            </w:tcBorders>
            <w:noWrap w:val="0"/>
            <w:vAlign w:val="center"/>
          </w:tcPr>
          <w:p w14:paraId="761400D4">
            <w:pPr>
              <w:spacing w:line="240" w:lineRule="atLeast"/>
              <w:jc w:val="center"/>
              <w:rPr>
                <w:rFonts w:hint="eastAsia" w:ascii="宋体" w:hAnsi="宋体" w:cs="宋体"/>
                <w:b/>
                <w:sz w:val="22"/>
                <w:szCs w:val="22"/>
              </w:rPr>
            </w:pPr>
            <w:r>
              <w:rPr>
                <w:rFonts w:hint="eastAsia" w:ascii="宋体" w:hAnsi="宋体" w:cs="宋体"/>
                <w:b/>
                <w:sz w:val="22"/>
                <w:szCs w:val="22"/>
              </w:rPr>
              <w:t>材料设备品种</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5E6A01D5">
            <w:pPr>
              <w:jc w:val="center"/>
              <w:rPr>
                <w:rFonts w:hint="eastAsia" w:ascii="宋体" w:hAnsi="宋体" w:cs="宋体"/>
                <w:b/>
                <w:sz w:val="22"/>
                <w:szCs w:val="22"/>
              </w:rPr>
            </w:pPr>
            <w:r>
              <w:rPr>
                <w:rFonts w:hint="eastAsia" w:ascii="宋体" w:hAnsi="宋体" w:cs="宋体"/>
                <w:b/>
                <w:sz w:val="22"/>
                <w:szCs w:val="22"/>
              </w:rPr>
              <w:t>参考品牌</w:t>
            </w:r>
          </w:p>
        </w:tc>
      </w:tr>
      <w:tr w14:paraId="11C738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6DCE26D1">
            <w:pPr>
              <w:spacing w:line="240" w:lineRule="atLeast"/>
              <w:jc w:val="center"/>
              <w:rPr>
                <w:rFonts w:hint="eastAsia" w:ascii="宋体" w:hAnsi="宋体" w:cs="宋体"/>
                <w:sz w:val="22"/>
                <w:szCs w:val="22"/>
              </w:rPr>
            </w:pPr>
            <w:r>
              <w:rPr>
                <w:rFonts w:hint="eastAsia" w:ascii="宋体" w:hAnsi="宋体" w:cs="宋体"/>
                <w:sz w:val="22"/>
                <w:szCs w:val="22"/>
              </w:rPr>
              <w:t>1</w:t>
            </w:r>
          </w:p>
        </w:tc>
        <w:tc>
          <w:tcPr>
            <w:tcW w:w="2452" w:type="dxa"/>
            <w:tcBorders>
              <w:top w:val="outset" w:color="auto" w:sz="6" w:space="0"/>
              <w:left w:val="outset" w:color="auto" w:sz="6" w:space="0"/>
              <w:right w:val="outset" w:color="auto" w:sz="6" w:space="0"/>
            </w:tcBorders>
            <w:noWrap w:val="0"/>
            <w:vAlign w:val="center"/>
          </w:tcPr>
          <w:p w14:paraId="28241712">
            <w:pPr>
              <w:spacing w:line="240" w:lineRule="atLeast"/>
              <w:jc w:val="center"/>
              <w:rPr>
                <w:rFonts w:hint="eastAsia" w:ascii="宋体" w:hAnsi="宋体" w:cs="宋体"/>
                <w:sz w:val="22"/>
                <w:szCs w:val="22"/>
              </w:rPr>
            </w:pPr>
            <w:r>
              <w:rPr>
                <w:rFonts w:hint="eastAsia" w:ascii="宋体" w:hAnsi="宋体" w:cs="宋体"/>
                <w:sz w:val="22"/>
                <w:szCs w:val="22"/>
              </w:rPr>
              <w:t>薄壁不锈钢管</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77A73D3C">
            <w:pPr>
              <w:jc w:val="center"/>
              <w:rPr>
                <w:rFonts w:hint="eastAsia" w:ascii="宋体" w:hAnsi="宋体" w:cs="宋体"/>
                <w:sz w:val="22"/>
                <w:szCs w:val="22"/>
              </w:rPr>
            </w:pPr>
            <w:r>
              <w:rPr>
                <w:rFonts w:hint="eastAsia" w:ascii="宋体" w:hAnsi="宋体" w:cs="宋体"/>
                <w:sz w:val="22"/>
                <w:szCs w:val="22"/>
              </w:rPr>
              <w:t>深圳雅昌、无锡金羊、四川民生、宁波富兰特、民乐、宁波永享、共同、中捷、创通</w:t>
            </w:r>
          </w:p>
        </w:tc>
      </w:tr>
      <w:tr w14:paraId="166A1A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6500056F">
            <w:pPr>
              <w:spacing w:line="240" w:lineRule="atLeast"/>
              <w:jc w:val="center"/>
              <w:rPr>
                <w:rFonts w:hint="eastAsia" w:ascii="宋体" w:hAnsi="宋体" w:cs="宋体"/>
                <w:sz w:val="22"/>
                <w:szCs w:val="22"/>
              </w:rPr>
            </w:pPr>
            <w:r>
              <w:rPr>
                <w:rFonts w:hint="eastAsia" w:ascii="宋体" w:hAnsi="宋体" w:cs="宋体"/>
                <w:sz w:val="22"/>
                <w:szCs w:val="22"/>
              </w:rPr>
              <w:t>2</w:t>
            </w:r>
          </w:p>
        </w:tc>
        <w:tc>
          <w:tcPr>
            <w:tcW w:w="2452" w:type="dxa"/>
            <w:tcBorders>
              <w:top w:val="outset" w:color="auto" w:sz="6" w:space="0"/>
              <w:left w:val="outset" w:color="auto" w:sz="6" w:space="0"/>
              <w:right w:val="outset" w:color="auto" w:sz="6" w:space="0"/>
            </w:tcBorders>
            <w:noWrap w:val="0"/>
            <w:vAlign w:val="center"/>
          </w:tcPr>
          <w:p w14:paraId="3C52E53A">
            <w:pPr>
              <w:spacing w:line="240" w:lineRule="atLeast"/>
              <w:jc w:val="center"/>
              <w:rPr>
                <w:rFonts w:hint="eastAsia" w:ascii="宋体" w:hAnsi="宋体" w:cs="宋体"/>
                <w:sz w:val="22"/>
                <w:szCs w:val="22"/>
              </w:rPr>
            </w:pPr>
            <w:r>
              <w:rPr>
                <w:rFonts w:hint="eastAsia" w:ascii="宋体" w:hAnsi="宋体" w:cs="宋体"/>
                <w:sz w:val="22"/>
                <w:szCs w:val="22"/>
              </w:rPr>
              <w:t>钢塑复合管</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70DB631C">
            <w:pPr>
              <w:jc w:val="center"/>
              <w:rPr>
                <w:rFonts w:hint="eastAsia" w:ascii="宋体" w:hAnsi="宋体" w:cs="宋体"/>
                <w:sz w:val="22"/>
                <w:szCs w:val="22"/>
              </w:rPr>
            </w:pPr>
            <w:r>
              <w:rPr>
                <w:rFonts w:hint="eastAsia" w:ascii="宋体" w:hAnsi="宋体" w:cs="宋体"/>
                <w:sz w:val="22"/>
                <w:szCs w:val="22"/>
              </w:rPr>
              <w:t>泰丰侨、珠江、贝根、联塑华通</w:t>
            </w:r>
          </w:p>
        </w:tc>
      </w:tr>
      <w:tr w14:paraId="09190E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2C1BB428">
            <w:pPr>
              <w:spacing w:line="240" w:lineRule="atLeast"/>
              <w:jc w:val="center"/>
              <w:rPr>
                <w:rFonts w:hint="eastAsia" w:ascii="宋体" w:hAnsi="宋体" w:cs="宋体"/>
                <w:sz w:val="22"/>
                <w:szCs w:val="22"/>
              </w:rPr>
            </w:pPr>
            <w:r>
              <w:rPr>
                <w:rFonts w:hint="eastAsia" w:ascii="宋体" w:hAnsi="宋体" w:cs="宋体"/>
                <w:sz w:val="22"/>
                <w:szCs w:val="22"/>
              </w:rPr>
              <w:t>3</w:t>
            </w:r>
          </w:p>
        </w:tc>
        <w:tc>
          <w:tcPr>
            <w:tcW w:w="2452" w:type="dxa"/>
            <w:tcBorders>
              <w:top w:val="outset" w:color="auto" w:sz="6" w:space="0"/>
              <w:left w:val="outset" w:color="auto" w:sz="6" w:space="0"/>
              <w:right w:val="outset" w:color="auto" w:sz="6" w:space="0"/>
            </w:tcBorders>
            <w:noWrap w:val="0"/>
            <w:vAlign w:val="center"/>
          </w:tcPr>
          <w:p w14:paraId="79E7230D">
            <w:pPr>
              <w:spacing w:line="240" w:lineRule="atLeast"/>
              <w:jc w:val="center"/>
              <w:rPr>
                <w:rFonts w:hint="eastAsia" w:ascii="宋体" w:hAnsi="宋体" w:cs="宋体"/>
                <w:sz w:val="22"/>
                <w:szCs w:val="22"/>
              </w:rPr>
            </w:pPr>
            <w:r>
              <w:rPr>
                <w:rFonts w:hint="eastAsia" w:ascii="宋体" w:hAnsi="宋体" w:cs="宋体"/>
                <w:sz w:val="22"/>
                <w:szCs w:val="22"/>
              </w:rPr>
              <w:t>热镀锌钢管</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279D63ED">
            <w:pPr>
              <w:jc w:val="center"/>
              <w:rPr>
                <w:rFonts w:hint="eastAsia" w:ascii="宋体" w:hAnsi="宋体" w:cs="宋体"/>
                <w:sz w:val="22"/>
                <w:szCs w:val="22"/>
              </w:rPr>
            </w:pPr>
            <w:r>
              <w:rPr>
                <w:rFonts w:hint="eastAsia" w:ascii="宋体" w:hAnsi="宋体" w:cs="宋体"/>
                <w:sz w:val="22"/>
                <w:szCs w:val="22"/>
              </w:rPr>
              <w:t>泰丰侨、珠江、银河、联塑华通</w:t>
            </w:r>
          </w:p>
        </w:tc>
      </w:tr>
      <w:tr w14:paraId="2956F7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435D15F5">
            <w:pPr>
              <w:spacing w:line="240" w:lineRule="atLeast"/>
              <w:jc w:val="center"/>
              <w:rPr>
                <w:rFonts w:hint="eastAsia" w:ascii="宋体" w:hAnsi="宋体" w:cs="宋体"/>
                <w:sz w:val="22"/>
                <w:szCs w:val="22"/>
              </w:rPr>
            </w:pPr>
            <w:r>
              <w:rPr>
                <w:rFonts w:hint="eastAsia" w:ascii="宋体" w:hAnsi="宋体" w:cs="宋体"/>
                <w:sz w:val="22"/>
                <w:szCs w:val="22"/>
              </w:rPr>
              <w:t>4</w:t>
            </w:r>
          </w:p>
        </w:tc>
        <w:tc>
          <w:tcPr>
            <w:tcW w:w="2452" w:type="dxa"/>
            <w:tcBorders>
              <w:top w:val="outset" w:color="auto" w:sz="6" w:space="0"/>
              <w:left w:val="outset" w:color="auto" w:sz="6" w:space="0"/>
              <w:right w:val="outset" w:color="auto" w:sz="6" w:space="0"/>
            </w:tcBorders>
            <w:noWrap w:val="0"/>
            <w:vAlign w:val="center"/>
          </w:tcPr>
          <w:p w14:paraId="72DE0C52">
            <w:pPr>
              <w:spacing w:line="240" w:lineRule="atLeast"/>
              <w:jc w:val="center"/>
              <w:rPr>
                <w:rFonts w:hint="eastAsia" w:ascii="宋体" w:hAnsi="宋体" w:cs="宋体"/>
                <w:sz w:val="22"/>
                <w:szCs w:val="22"/>
              </w:rPr>
            </w:pPr>
            <w:r>
              <w:rPr>
                <w:rFonts w:hint="eastAsia" w:ascii="宋体" w:hAnsi="宋体" w:cs="宋体"/>
                <w:sz w:val="22"/>
                <w:szCs w:val="22"/>
              </w:rPr>
              <w:t>沟槽式连接件（卡箍）</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1C5B842D">
            <w:pPr>
              <w:jc w:val="center"/>
              <w:rPr>
                <w:rFonts w:hint="eastAsia" w:ascii="宋体" w:hAnsi="宋体" w:cs="宋体"/>
                <w:sz w:val="22"/>
                <w:szCs w:val="22"/>
              </w:rPr>
            </w:pPr>
            <w:r>
              <w:rPr>
                <w:rFonts w:hint="eastAsia" w:ascii="宋体" w:hAnsi="宋体" w:cs="宋体"/>
                <w:sz w:val="22"/>
                <w:szCs w:val="22"/>
              </w:rPr>
              <w:t>维特利、迈克、亿百通、上海瑞浮</w:t>
            </w:r>
          </w:p>
        </w:tc>
      </w:tr>
      <w:tr w14:paraId="5709FD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2F4350EA">
            <w:pPr>
              <w:spacing w:line="240" w:lineRule="atLeast"/>
              <w:jc w:val="center"/>
              <w:rPr>
                <w:rFonts w:hint="eastAsia" w:ascii="宋体" w:hAnsi="宋体" w:cs="宋体"/>
                <w:sz w:val="22"/>
                <w:szCs w:val="22"/>
              </w:rPr>
            </w:pPr>
            <w:r>
              <w:rPr>
                <w:rFonts w:hint="eastAsia" w:ascii="宋体" w:hAnsi="宋体" w:cs="宋体"/>
                <w:sz w:val="22"/>
                <w:szCs w:val="22"/>
              </w:rPr>
              <w:t>5</w:t>
            </w:r>
          </w:p>
        </w:tc>
        <w:tc>
          <w:tcPr>
            <w:tcW w:w="2452" w:type="dxa"/>
            <w:tcBorders>
              <w:top w:val="outset" w:color="auto" w:sz="6" w:space="0"/>
              <w:left w:val="outset" w:color="auto" w:sz="6" w:space="0"/>
              <w:right w:val="outset" w:color="auto" w:sz="6" w:space="0"/>
            </w:tcBorders>
            <w:noWrap w:val="0"/>
            <w:vAlign w:val="center"/>
          </w:tcPr>
          <w:p w14:paraId="07C9D6AF">
            <w:pPr>
              <w:spacing w:line="240" w:lineRule="atLeast"/>
              <w:jc w:val="center"/>
              <w:rPr>
                <w:rFonts w:hint="eastAsia" w:ascii="宋体" w:hAnsi="宋体" w:cs="宋体"/>
                <w:sz w:val="22"/>
                <w:szCs w:val="22"/>
              </w:rPr>
            </w:pPr>
            <w:r>
              <w:rPr>
                <w:rFonts w:hint="eastAsia" w:ascii="宋体" w:hAnsi="宋体" w:cs="宋体"/>
                <w:sz w:val="22"/>
                <w:szCs w:val="22"/>
              </w:rPr>
              <w:t>PVC-U给、排水管</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482B9C5A">
            <w:pPr>
              <w:jc w:val="center"/>
              <w:rPr>
                <w:rFonts w:hint="eastAsia" w:ascii="宋体" w:hAnsi="宋体" w:cs="宋体"/>
                <w:sz w:val="22"/>
                <w:szCs w:val="22"/>
              </w:rPr>
            </w:pPr>
            <w:r>
              <w:rPr>
                <w:rFonts w:hint="eastAsia" w:ascii="宋体" w:hAnsi="宋体" w:cs="宋体"/>
                <w:sz w:val="22"/>
                <w:szCs w:val="22"/>
              </w:rPr>
              <w:t>皇冠、中财、永高、泉恩、亚通、日丰、联塑</w:t>
            </w:r>
          </w:p>
        </w:tc>
      </w:tr>
      <w:tr w14:paraId="1B2D4E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670" w:type="dxa"/>
            <w:tcBorders>
              <w:top w:val="outset" w:color="auto" w:sz="6" w:space="0"/>
              <w:left w:val="outset" w:color="auto" w:sz="6" w:space="0"/>
              <w:right w:val="outset" w:color="auto" w:sz="6" w:space="0"/>
            </w:tcBorders>
            <w:noWrap w:val="0"/>
            <w:vAlign w:val="center"/>
          </w:tcPr>
          <w:p w14:paraId="25E70BB2">
            <w:pPr>
              <w:spacing w:line="240" w:lineRule="atLeast"/>
              <w:jc w:val="center"/>
              <w:rPr>
                <w:rFonts w:hint="eastAsia" w:ascii="宋体" w:hAnsi="宋体" w:cs="宋体"/>
                <w:sz w:val="22"/>
                <w:szCs w:val="22"/>
              </w:rPr>
            </w:pPr>
            <w:r>
              <w:rPr>
                <w:rFonts w:hint="eastAsia" w:ascii="宋体" w:hAnsi="宋体" w:cs="宋体"/>
                <w:sz w:val="22"/>
                <w:szCs w:val="22"/>
              </w:rPr>
              <w:t>6</w:t>
            </w:r>
          </w:p>
        </w:tc>
        <w:tc>
          <w:tcPr>
            <w:tcW w:w="2452" w:type="dxa"/>
            <w:tcBorders>
              <w:top w:val="outset" w:color="auto" w:sz="6" w:space="0"/>
              <w:left w:val="outset" w:color="auto" w:sz="6" w:space="0"/>
              <w:right w:val="outset" w:color="auto" w:sz="6" w:space="0"/>
            </w:tcBorders>
            <w:noWrap w:val="0"/>
            <w:vAlign w:val="center"/>
          </w:tcPr>
          <w:p w14:paraId="3BAE9BBE">
            <w:pPr>
              <w:spacing w:line="240" w:lineRule="atLeast"/>
              <w:jc w:val="center"/>
              <w:rPr>
                <w:rFonts w:hint="eastAsia" w:ascii="宋体" w:hAnsi="宋体" w:cs="宋体"/>
                <w:sz w:val="22"/>
                <w:szCs w:val="22"/>
              </w:rPr>
            </w:pPr>
            <w:r>
              <w:rPr>
                <w:rFonts w:hint="eastAsia" w:ascii="宋体" w:hAnsi="宋体" w:cs="宋体"/>
                <w:sz w:val="22"/>
                <w:szCs w:val="22"/>
              </w:rPr>
              <w:t>PP-R给水管</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2F15B90B">
            <w:pPr>
              <w:jc w:val="center"/>
              <w:rPr>
                <w:rFonts w:hint="eastAsia" w:ascii="宋体" w:hAnsi="宋体" w:cs="宋体"/>
                <w:sz w:val="22"/>
                <w:szCs w:val="22"/>
              </w:rPr>
            </w:pPr>
            <w:r>
              <w:rPr>
                <w:rFonts w:hint="eastAsia" w:ascii="宋体" w:hAnsi="宋体" w:cs="宋体"/>
                <w:sz w:val="22"/>
                <w:szCs w:val="22"/>
              </w:rPr>
              <w:t>日丰、伟星、永高、深塑、皇冠</w:t>
            </w:r>
          </w:p>
        </w:tc>
      </w:tr>
      <w:tr w14:paraId="001531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1892BA55">
            <w:pPr>
              <w:spacing w:line="240" w:lineRule="atLeast"/>
              <w:jc w:val="center"/>
              <w:rPr>
                <w:rFonts w:hint="eastAsia" w:ascii="宋体" w:hAnsi="宋体" w:cs="宋体"/>
                <w:sz w:val="22"/>
                <w:szCs w:val="22"/>
              </w:rPr>
            </w:pPr>
            <w:r>
              <w:rPr>
                <w:rFonts w:hint="eastAsia" w:ascii="宋体" w:hAnsi="宋体" w:cs="宋体"/>
                <w:sz w:val="22"/>
                <w:szCs w:val="22"/>
              </w:rPr>
              <w:t>7</w:t>
            </w:r>
          </w:p>
        </w:tc>
        <w:tc>
          <w:tcPr>
            <w:tcW w:w="2452" w:type="dxa"/>
            <w:tcBorders>
              <w:top w:val="outset" w:color="auto" w:sz="6" w:space="0"/>
              <w:left w:val="outset" w:color="auto" w:sz="6" w:space="0"/>
              <w:right w:val="outset" w:color="auto" w:sz="6" w:space="0"/>
            </w:tcBorders>
            <w:noWrap w:val="0"/>
            <w:vAlign w:val="center"/>
          </w:tcPr>
          <w:p w14:paraId="133D8F35">
            <w:pPr>
              <w:spacing w:line="240" w:lineRule="atLeast"/>
              <w:jc w:val="center"/>
              <w:rPr>
                <w:rFonts w:hint="eastAsia" w:ascii="宋体" w:hAnsi="宋体" w:cs="宋体"/>
                <w:sz w:val="22"/>
                <w:szCs w:val="22"/>
              </w:rPr>
            </w:pPr>
            <w:r>
              <w:rPr>
                <w:rFonts w:hint="eastAsia" w:ascii="宋体" w:hAnsi="宋体" w:cs="宋体"/>
                <w:sz w:val="22"/>
                <w:szCs w:val="22"/>
              </w:rPr>
              <w:t>PE给水管</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2A247650">
            <w:pPr>
              <w:jc w:val="center"/>
              <w:rPr>
                <w:rFonts w:hint="eastAsia" w:ascii="宋体" w:hAnsi="宋体" w:cs="宋体"/>
                <w:sz w:val="22"/>
                <w:szCs w:val="22"/>
              </w:rPr>
            </w:pPr>
            <w:r>
              <w:rPr>
                <w:rFonts w:hint="eastAsia" w:ascii="宋体" w:hAnsi="宋体" w:cs="宋体"/>
                <w:sz w:val="22"/>
                <w:szCs w:val="22"/>
              </w:rPr>
              <w:t>恒杰、伟星、皇冠、联塑、永高、泉恩</w:t>
            </w:r>
          </w:p>
        </w:tc>
      </w:tr>
      <w:tr w14:paraId="3FA4C3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2BC204FA">
            <w:pPr>
              <w:spacing w:line="240" w:lineRule="atLeast"/>
              <w:jc w:val="center"/>
              <w:rPr>
                <w:rFonts w:hint="eastAsia" w:ascii="宋体" w:hAnsi="宋体" w:cs="宋体"/>
                <w:sz w:val="22"/>
                <w:szCs w:val="22"/>
              </w:rPr>
            </w:pPr>
            <w:r>
              <w:rPr>
                <w:rFonts w:hint="eastAsia" w:ascii="宋体" w:hAnsi="宋体" w:cs="宋体"/>
                <w:sz w:val="22"/>
                <w:szCs w:val="22"/>
              </w:rPr>
              <w:t>8</w:t>
            </w:r>
          </w:p>
        </w:tc>
        <w:tc>
          <w:tcPr>
            <w:tcW w:w="2452" w:type="dxa"/>
            <w:tcBorders>
              <w:top w:val="outset" w:color="auto" w:sz="6" w:space="0"/>
              <w:left w:val="outset" w:color="auto" w:sz="6" w:space="0"/>
              <w:right w:val="outset" w:color="auto" w:sz="6" w:space="0"/>
            </w:tcBorders>
            <w:noWrap w:val="0"/>
            <w:vAlign w:val="center"/>
          </w:tcPr>
          <w:p w14:paraId="6FE29A53">
            <w:pPr>
              <w:spacing w:line="240" w:lineRule="atLeast"/>
              <w:jc w:val="center"/>
              <w:rPr>
                <w:rFonts w:hint="eastAsia" w:ascii="宋体" w:hAnsi="宋体" w:cs="宋体"/>
                <w:sz w:val="22"/>
                <w:szCs w:val="22"/>
              </w:rPr>
            </w:pPr>
            <w:r>
              <w:rPr>
                <w:rFonts w:hint="eastAsia" w:ascii="宋体" w:hAnsi="宋体" w:cs="宋体"/>
                <w:sz w:val="22"/>
                <w:szCs w:val="22"/>
              </w:rPr>
              <w:t>双壁波纹管</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065A0498">
            <w:pPr>
              <w:jc w:val="center"/>
              <w:rPr>
                <w:rFonts w:hint="eastAsia" w:ascii="宋体" w:hAnsi="宋体" w:cs="宋体"/>
                <w:sz w:val="22"/>
                <w:szCs w:val="22"/>
              </w:rPr>
            </w:pPr>
            <w:r>
              <w:rPr>
                <w:rFonts w:hint="eastAsia" w:ascii="宋体" w:hAnsi="宋体" w:cs="宋体"/>
                <w:sz w:val="22"/>
                <w:szCs w:val="22"/>
              </w:rPr>
              <w:t>伟星、永高、雄塑、联塑</w:t>
            </w:r>
          </w:p>
        </w:tc>
      </w:tr>
      <w:tr w14:paraId="317A57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4C9D4DFA">
            <w:pPr>
              <w:spacing w:line="240" w:lineRule="atLeast"/>
              <w:jc w:val="center"/>
              <w:rPr>
                <w:rFonts w:hint="eastAsia" w:ascii="宋体" w:hAnsi="宋体" w:cs="宋体"/>
                <w:sz w:val="22"/>
                <w:szCs w:val="22"/>
              </w:rPr>
            </w:pPr>
            <w:r>
              <w:rPr>
                <w:rFonts w:hint="eastAsia" w:ascii="宋体" w:hAnsi="宋体" w:cs="宋体"/>
                <w:sz w:val="22"/>
                <w:szCs w:val="22"/>
              </w:rPr>
              <w:t>9</w:t>
            </w:r>
          </w:p>
        </w:tc>
        <w:tc>
          <w:tcPr>
            <w:tcW w:w="2452" w:type="dxa"/>
            <w:tcBorders>
              <w:top w:val="outset" w:color="auto" w:sz="6" w:space="0"/>
              <w:left w:val="outset" w:color="auto" w:sz="6" w:space="0"/>
              <w:right w:val="outset" w:color="auto" w:sz="6" w:space="0"/>
            </w:tcBorders>
            <w:noWrap w:val="0"/>
            <w:vAlign w:val="center"/>
          </w:tcPr>
          <w:p w14:paraId="7292724C">
            <w:pPr>
              <w:spacing w:line="240" w:lineRule="atLeast"/>
              <w:jc w:val="center"/>
              <w:rPr>
                <w:rFonts w:hint="eastAsia" w:ascii="宋体" w:hAnsi="宋体" w:cs="宋体"/>
                <w:sz w:val="22"/>
                <w:szCs w:val="22"/>
              </w:rPr>
            </w:pPr>
            <w:r>
              <w:rPr>
                <w:rFonts w:hint="eastAsia" w:ascii="宋体" w:hAnsi="宋体" w:cs="宋体"/>
                <w:sz w:val="22"/>
                <w:szCs w:val="22"/>
              </w:rPr>
              <w:t>缠绕波纹管</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21E81ADD">
            <w:pPr>
              <w:jc w:val="center"/>
              <w:rPr>
                <w:rFonts w:hint="eastAsia" w:ascii="宋体" w:hAnsi="宋体" w:cs="宋体"/>
                <w:sz w:val="22"/>
                <w:szCs w:val="22"/>
              </w:rPr>
            </w:pPr>
            <w:r>
              <w:rPr>
                <w:rFonts w:hint="eastAsia" w:ascii="宋体" w:hAnsi="宋体" w:cs="宋体"/>
                <w:sz w:val="22"/>
                <w:szCs w:val="22"/>
              </w:rPr>
              <w:t>华瀚、枫叶、永高、纳川</w:t>
            </w:r>
          </w:p>
        </w:tc>
      </w:tr>
      <w:tr w14:paraId="75F7C4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1B9D588E">
            <w:pPr>
              <w:spacing w:line="240" w:lineRule="atLeast"/>
              <w:jc w:val="center"/>
              <w:rPr>
                <w:rFonts w:hint="eastAsia" w:ascii="宋体" w:hAnsi="宋体" w:cs="宋体"/>
                <w:sz w:val="22"/>
                <w:szCs w:val="22"/>
              </w:rPr>
            </w:pPr>
            <w:r>
              <w:rPr>
                <w:rFonts w:hint="eastAsia" w:ascii="宋体" w:hAnsi="宋体" w:cs="宋体"/>
                <w:sz w:val="22"/>
                <w:szCs w:val="22"/>
              </w:rPr>
              <w:t>10</w:t>
            </w:r>
          </w:p>
        </w:tc>
        <w:tc>
          <w:tcPr>
            <w:tcW w:w="2452" w:type="dxa"/>
            <w:tcBorders>
              <w:top w:val="outset" w:color="auto" w:sz="6" w:space="0"/>
              <w:left w:val="outset" w:color="auto" w:sz="6" w:space="0"/>
              <w:right w:val="outset" w:color="auto" w:sz="6" w:space="0"/>
            </w:tcBorders>
            <w:noWrap w:val="0"/>
            <w:vAlign w:val="center"/>
          </w:tcPr>
          <w:p w14:paraId="329D63D3">
            <w:pPr>
              <w:spacing w:line="240" w:lineRule="atLeast"/>
              <w:jc w:val="center"/>
              <w:rPr>
                <w:rFonts w:hint="eastAsia" w:ascii="宋体" w:hAnsi="宋体" w:cs="宋体"/>
                <w:sz w:val="22"/>
                <w:szCs w:val="22"/>
              </w:rPr>
            </w:pPr>
            <w:r>
              <w:rPr>
                <w:rFonts w:hint="eastAsia" w:ascii="宋体" w:hAnsi="宋体" w:cs="宋体"/>
                <w:sz w:val="22"/>
                <w:szCs w:val="22"/>
              </w:rPr>
              <w:t>阀门</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2B7AD59D">
            <w:pPr>
              <w:jc w:val="center"/>
              <w:rPr>
                <w:rFonts w:hint="eastAsia" w:ascii="宋体" w:hAnsi="宋体" w:cs="宋体"/>
                <w:sz w:val="22"/>
                <w:szCs w:val="22"/>
              </w:rPr>
            </w:pPr>
            <w:r>
              <w:rPr>
                <w:rFonts w:hint="eastAsia" w:ascii="宋体" w:hAnsi="宋体" w:cs="宋体"/>
                <w:sz w:val="22"/>
                <w:szCs w:val="22"/>
              </w:rPr>
              <w:t>沃茨、上海冠龙、武汉大禹、迈克</w:t>
            </w:r>
          </w:p>
        </w:tc>
      </w:tr>
      <w:tr w14:paraId="04AA2A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5D4E2B43">
            <w:pPr>
              <w:spacing w:line="240" w:lineRule="atLeast"/>
              <w:jc w:val="center"/>
              <w:rPr>
                <w:rFonts w:hint="eastAsia" w:ascii="宋体" w:hAnsi="宋体" w:cs="宋体"/>
                <w:sz w:val="22"/>
                <w:szCs w:val="22"/>
              </w:rPr>
            </w:pPr>
            <w:r>
              <w:rPr>
                <w:rFonts w:hint="eastAsia" w:ascii="宋体" w:hAnsi="宋体" w:cs="宋体"/>
                <w:sz w:val="22"/>
                <w:szCs w:val="22"/>
              </w:rPr>
              <w:t>11</w:t>
            </w:r>
          </w:p>
        </w:tc>
        <w:tc>
          <w:tcPr>
            <w:tcW w:w="2452" w:type="dxa"/>
            <w:tcBorders>
              <w:top w:val="outset" w:color="auto" w:sz="6" w:space="0"/>
              <w:left w:val="outset" w:color="auto" w:sz="6" w:space="0"/>
              <w:right w:val="outset" w:color="auto" w:sz="6" w:space="0"/>
            </w:tcBorders>
            <w:noWrap w:val="0"/>
            <w:vAlign w:val="center"/>
          </w:tcPr>
          <w:p w14:paraId="5EBC28FD">
            <w:pPr>
              <w:spacing w:line="240" w:lineRule="atLeast"/>
              <w:jc w:val="center"/>
              <w:rPr>
                <w:rFonts w:hint="eastAsia" w:ascii="宋体" w:hAnsi="宋体" w:cs="宋体"/>
                <w:sz w:val="22"/>
                <w:szCs w:val="22"/>
              </w:rPr>
            </w:pPr>
            <w:r>
              <w:rPr>
                <w:rFonts w:hint="eastAsia" w:ascii="宋体" w:hAnsi="宋体" w:cs="宋体"/>
                <w:sz w:val="22"/>
                <w:szCs w:val="22"/>
              </w:rPr>
              <w:t>虹吸排水</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6A9FDA06">
            <w:pPr>
              <w:jc w:val="center"/>
              <w:rPr>
                <w:rFonts w:hint="eastAsia" w:ascii="宋体" w:hAnsi="宋体" w:cs="宋体"/>
                <w:sz w:val="22"/>
                <w:szCs w:val="22"/>
              </w:rPr>
            </w:pPr>
            <w:r>
              <w:rPr>
                <w:rFonts w:hint="eastAsia" w:ascii="宋体" w:hAnsi="宋体" w:cs="宋体"/>
                <w:sz w:val="22"/>
                <w:szCs w:val="22"/>
              </w:rPr>
              <w:t>吉博力、泰宁、捷流</w:t>
            </w:r>
          </w:p>
        </w:tc>
      </w:tr>
      <w:tr w14:paraId="6488DA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0F385593">
            <w:pPr>
              <w:spacing w:line="240" w:lineRule="atLeast"/>
              <w:jc w:val="center"/>
              <w:rPr>
                <w:rFonts w:hint="eastAsia" w:ascii="宋体" w:hAnsi="宋体" w:cs="宋体"/>
                <w:sz w:val="22"/>
                <w:szCs w:val="22"/>
              </w:rPr>
            </w:pPr>
            <w:r>
              <w:rPr>
                <w:rFonts w:hint="eastAsia" w:ascii="宋体" w:hAnsi="宋体" w:cs="宋体"/>
                <w:sz w:val="22"/>
                <w:szCs w:val="22"/>
              </w:rPr>
              <w:t>12</w:t>
            </w:r>
          </w:p>
        </w:tc>
        <w:tc>
          <w:tcPr>
            <w:tcW w:w="2452" w:type="dxa"/>
            <w:tcBorders>
              <w:top w:val="outset" w:color="auto" w:sz="6" w:space="0"/>
              <w:left w:val="outset" w:color="auto" w:sz="6" w:space="0"/>
              <w:right w:val="outset" w:color="auto" w:sz="6" w:space="0"/>
            </w:tcBorders>
            <w:noWrap w:val="0"/>
            <w:vAlign w:val="center"/>
          </w:tcPr>
          <w:p w14:paraId="273938F0">
            <w:pPr>
              <w:spacing w:line="240" w:lineRule="atLeast"/>
              <w:jc w:val="center"/>
              <w:rPr>
                <w:rFonts w:hint="eastAsia" w:ascii="宋体" w:hAnsi="宋体" w:cs="宋体"/>
                <w:sz w:val="22"/>
                <w:szCs w:val="22"/>
              </w:rPr>
            </w:pPr>
            <w:r>
              <w:rPr>
                <w:rFonts w:hint="eastAsia" w:ascii="宋体" w:hAnsi="宋体" w:cs="宋体"/>
                <w:sz w:val="22"/>
                <w:szCs w:val="22"/>
              </w:rPr>
              <w:t>太阳能平板集热器</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25162419">
            <w:pPr>
              <w:jc w:val="center"/>
              <w:rPr>
                <w:rFonts w:hint="eastAsia" w:ascii="宋体" w:hAnsi="宋体" w:cs="宋体"/>
                <w:sz w:val="22"/>
                <w:szCs w:val="22"/>
              </w:rPr>
            </w:pPr>
            <w:r>
              <w:rPr>
                <w:rFonts w:hint="eastAsia" w:ascii="宋体" w:hAnsi="宋体" w:cs="宋体"/>
                <w:sz w:val="22"/>
                <w:szCs w:val="22"/>
              </w:rPr>
              <w:t>嘉普通、兴业、五星</w:t>
            </w:r>
          </w:p>
        </w:tc>
      </w:tr>
      <w:tr w14:paraId="11A83F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415D0318">
            <w:pPr>
              <w:spacing w:line="240" w:lineRule="atLeast"/>
              <w:jc w:val="center"/>
              <w:rPr>
                <w:rFonts w:hint="eastAsia" w:ascii="宋体" w:hAnsi="宋体" w:cs="宋体"/>
                <w:sz w:val="22"/>
                <w:szCs w:val="22"/>
              </w:rPr>
            </w:pPr>
            <w:r>
              <w:rPr>
                <w:rFonts w:hint="eastAsia" w:ascii="宋体" w:hAnsi="宋体" w:cs="宋体"/>
                <w:sz w:val="22"/>
                <w:szCs w:val="22"/>
              </w:rPr>
              <w:t>13</w:t>
            </w:r>
          </w:p>
        </w:tc>
        <w:tc>
          <w:tcPr>
            <w:tcW w:w="2452" w:type="dxa"/>
            <w:tcBorders>
              <w:top w:val="outset" w:color="auto" w:sz="6" w:space="0"/>
              <w:left w:val="outset" w:color="auto" w:sz="6" w:space="0"/>
              <w:right w:val="outset" w:color="auto" w:sz="6" w:space="0"/>
            </w:tcBorders>
            <w:noWrap w:val="0"/>
            <w:vAlign w:val="center"/>
          </w:tcPr>
          <w:p w14:paraId="1E77F796">
            <w:pPr>
              <w:spacing w:line="240" w:lineRule="atLeast"/>
              <w:jc w:val="center"/>
              <w:rPr>
                <w:rFonts w:hint="eastAsia" w:ascii="宋体" w:hAnsi="宋体" w:cs="宋体"/>
                <w:sz w:val="22"/>
                <w:szCs w:val="22"/>
              </w:rPr>
            </w:pPr>
            <w:r>
              <w:rPr>
                <w:rFonts w:hint="eastAsia" w:ascii="宋体" w:hAnsi="宋体" w:cs="宋体"/>
                <w:sz w:val="22"/>
                <w:szCs w:val="22"/>
              </w:rPr>
              <w:t>太阳能热水循环泵</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138F7111">
            <w:pPr>
              <w:jc w:val="center"/>
              <w:rPr>
                <w:rFonts w:ascii="宋体" w:hAnsi="宋体" w:cs="宋体"/>
                <w:sz w:val="22"/>
                <w:szCs w:val="22"/>
              </w:rPr>
            </w:pPr>
            <w:r>
              <w:rPr>
                <w:rFonts w:hint="eastAsia" w:ascii="宋体" w:hAnsi="宋体" w:cs="宋体"/>
                <w:sz w:val="22"/>
                <w:szCs w:val="22"/>
              </w:rPr>
              <w:t>威乐、荏原、格兰富</w:t>
            </w:r>
          </w:p>
        </w:tc>
      </w:tr>
      <w:tr w14:paraId="5EDC3C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33D6B73E">
            <w:pPr>
              <w:spacing w:line="240" w:lineRule="atLeast"/>
              <w:jc w:val="center"/>
              <w:rPr>
                <w:rFonts w:hint="eastAsia" w:ascii="宋体" w:hAnsi="宋体" w:cs="宋体"/>
                <w:sz w:val="22"/>
                <w:szCs w:val="22"/>
              </w:rPr>
            </w:pPr>
            <w:r>
              <w:rPr>
                <w:rFonts w:hint="eastAsia" w:ascii="宋体" w:hAnsi="宋体" w:cs="宋体"/>
                <w:sz w:val="22"/>
                <w:szCs w:val="22"/>
              </w:rPr>
              <w:t>14</w:t>
            </w:r>
          </w:p>
        </w:tc>
        <w:tc>
          <w:tcPr>
            <w:tcW w:w="2452" w:type="dxa"/>
            <w:tcBorders>
              <w:top w:val="outset" w:color="auto" w:sz="6" w:space="0"/>
              <w:left w:val="outset" w:color="auto" w:sz="6" w:space="0"/>
              <w:right w:val="outset" w:color="auto" w:sz="6" w:space="0"/>
            </w:tcBorders>
            <w:noWrap w:val="0"/>
            <w:vAlign w:val="center"/>
          </w:tcPr>
          <w:p w14:paraId="3F711FA8">
            <w:pPr>
              <w:spacing w:line="240" w:lineRule="atLeast"/>
              <w:jc w:val="center"/>
              <w:rPr>
                <w:rFonts w:hint="eastAsia" w:ascii="宋体" w:hAnsi="宋体" w:cs="宋体"/>
                <w:sz w:val="22"/>
                <w:szCs w:val="22"/>
              </w:rPr>
            </w:pPr>
            <w:r>
              <w:rPr>
                <w:rFonts w:hint="eastAsia" w:ascii="宋体" w:hAnsi="宋体" w:cs="宋体"/>
                <w:sz w:val="22"/>
                <w:szCs w:val="22"/>
              </w:rPr>
              <w:t>热泵热水器</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3A1C2311">
            <w:pPr>
              <w:jc w:val="center"/>
              <w:rPr>
                <w:rFonts w:hint="eastAsia" w:ascii="宋体" w:hAnsi="宋体" w:cs="宋体"/>
                <w:sz w:val="22"/>
                <w:szCs w:val="22"/>
              </w:rPr>
            </w:pPr>
            <w:r>
              <w:rPr>
                <w:rFonts w:hint="eastAsia" w:ascii="宋体" w:hAnsi="宋体" w:cs="宋体"/>
                <w:sz w:val="22"/>
                <w:szCs w:val="22"/>
              </w:rPr>
              <w:t>清华同方、美的、天舒、中宇</w:t>
            </w:r>
          </w:p>
        </w:tc>
      </w:tr>
      <w:tr w14:paraId="06DC2B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0FAB7B5B">
            <w:pPr>
              <w:spacing w:line="240" w:lineRule="atLeast"/>
              <w:jc w:val="center"/>
              <w:rPr>
                <w:rFonts w:hint="eastAsia" w:ascii="宋体" w:hAnsi="宋体" w:cs="宋体"/>
                <w:sz w:val="22"/>
                <w:szCs w:val="22"/>
              </w:rPr>
            </w:pPr>
            <w:r>
              <w:rPr>
                <w:rFonts w:hint="eastAsia" w:ascii="宋体" w:hAnsi="宋体" w:cs="宋体"/>
                <w:sz w:val="22"/>
                <w:szCs w:val="22"/>
              </w:rPr>
              <w:t>15</w:t>
            </w:r>
          </w:p>
        </w:tc>
        <w:tc>
          <w:tcPr>
            <w:tcW w:w="2452" w:type="dxa"/>
            <w:tcBorders>
              <w:top w:val="outset" w:color="auto" w:sz="6" w:space="0"/>
              <w:left w:val="outset" w:color="auto" w:sz="6" w:space="0"/>
              <w:right w:val="outset" w:color="auto" w:sz="6" w:space="0"/>
            </w:tcBorders>
            <w:noWrap w:val="0"/>
            <w:vAlign w:val="center"/>
          </w:tcPr>
          <w:p w14:paraId="155FA733">
            <w:pPr>
              <w:spacing w:line="240" w:lineRule="atLeast"/>
              <w:jc w:val="center"/>
              <w:rPr>
                <w:rFonts w:hint="eastAsia" w:ascii="宋体" w:hAnsi="宋体" w:cs="宋体"/>
                <w:sz w:val="22"/>
                <w:szCs w:val="22"/>
              </w:rPr>
            </w:pPr>
            <w:r>
              <w:rPr>
                <w:rFonts w:hint="eastAsia" w:ascii="宋体" w:hAnsi="宋体" w:cs="宋体"/>
                <w:sz w:val="22"/>
                <w:szCs w:val="22"/>
              </w:rPr>
              <w:t>消防水产品（喷头、水流指示器、湿式报警阀组、水泵接合器、信号阀）</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4713E705">
            <w:pPr>
              <w:jc w:val="center"/>
              <w:rPr>
                <w:rFonts w:hint="eastAsia" w:ascii="宋体" w:hAnsi="宋体" w:cs="宋体"/>
                <w:sz w:val="22"/>
                <w:szCs w:val="22"/>
              </w:rPr>
            </w:pPr>
            <w:r>
              <w:rPr>
                <w:rFonts w:hint="eastAsia" w:ascii="宋体" w:hAnsi="宋体" w:cs="宋体"/>
                <w:sz w:val="22"/>
                <w:szCs w:val="22"/>
              </w:rPr>
              <w:t>广东胜捷、川消、上海金盾、天广、维特利</w:t>
            </w:r>
          </w:p>
        </w:tc>
      </w:tr>
      <w:tr w14:paraId="68F34E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68255726">
            <w:pPr>
              <w:spacing w:line="240" w:lineRule="atLeast"/>
              <w:jc w:val="center"/>
              <w:rPr>
                <w:rFonts w:hint="eastAsia" w:ascii="宋体" w:hAnsi="宋体" w:cs="宋体"/>
                <w:sz w:val="22"/>
                <w:szCs w:val="22"/>
              </w:rPr>
            </w:pPr>
            <w:r>
              <w:rPr>
                <w:rFonts w:hint="eastAsia" w:ascii="宋体" w:hAnsi="宋体" w:cs="宋体"/>
                <w:sz w:val="22"/>
                <w:szCs w:val="22"/>
              </w:rPr>
              <w:t>16</w:t>
            </w:r>
          </w:p>
        </w:tc>
        <w:tc>
          <w:tcPr>
            <w:tcW w:w="2452" w:type="dxa"/>
            <w:tcBorders>
              <w:top w:val="outset" w:color="auto" w:sz="6" w:space="0"/>
              <w:left w:val="outset" w:color="auto" w:sz="6" w:space="0"/>
              <w:right w:val="outset" w:color="auto" w:sz="6" w:space="0"/>
            </w:tcBorders>
            <w:noWrap w:val="0"/>
            <w:vAlign w:val="center"/>
          </w:tcPr>
          <w:p w14:paraId="7BD74C7A">
            <w:pPr>
              <w:spacing w:line="240" w:lineRule="atLeast"/>
              <w:jc w:val="center"/>
              <w:rPr>
                <w:rFonts w:hint="eastAsia" w:ascii="宋体" w:hAnsi="宋体" w:cs="宋体"/>
                <w:sz w:val="22"/>
                <w:szCs w:val="22"/>
              </w:rPr>
            </w:pPr>
            <w:r>
              <w:rPr>
                <w:rFonts w:hint="eastAsia" w:ascii="宋体" w:hAnsi="宋体" w:cs="宋体"/>
                <w:sz w:val="22"/>
                <w:szCs w:val="22"/>
              </w:rPr>
              <w:t>消火栓箱</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704758BD">
            <w:pPr>
              <w:jc w:val="center"/>
              <w:rPr>
                <w:rFonts w:hint="eastAsia" w:ascii="宋体" w:hAnsi="宋体" w:cs="宋体"/>
                <w:sz w:val="22"/>
                <w:szCs w:val="22"/>
              </w:rPr>
            </w:pPr>
            <w:r>
              <w:rPr>
                <w:rFonts w:hint="eastAsia" w:ascii="宋体" w:hAnsi="宋体" w:cs="宋体"/>
                <w:sz w:val="22"/>
                <w:szCs w:val="22"/>
              </w:rPr>
              <w:t>香蜜湖、天广、集安、广东胜捷、桂安</w:t>
            </w:r>
          </w:p>
        </w:tc>
      </w:tr>
      <w:tr w14:paraId="292C1E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6F7E5B2D">
            <w:pPr>
              <w:spacing w:line="240" w:lineRule="atLeast"/>
              <w:jc w:val="center"/>
              <w:rPr>
                <w:rFonts w:hint="eastAsia" w:ascii="宋体" w:hAnsi="宋体" w:cs="宋体"/>
                <w:sz w:val="22"/>
                <w:szCs w:val="22"/>
              </w:rPr>
            </w:pPr>
            <w:r>
              <w:rPr>
                <w:rFonts w:hint="eastAsia" w:ascii="宋体" w:hAnsi="宋体" w:cs="宋体"/>
                <w:sz w:val="22"/>
                <w:szCs w:val="22"/>
              </w:rPr>
              <w:t>17</w:t>
            </w:r>
          </w:p>
        </w:tc>
        <w:tc>
          <w:tcPr>
            <w:tcW w:w="2452" w:type="dxa"/>
            <w:tcBorders>
              <w:top w:val="outset" w:color="auto" w:sz="6" w:space="0"/>
              <w:left w:val="outset" w:color="auto" w:sz="6" w:space="0"/>
              <w:right w:val="outset" w:color="auto" w:sz="6" w:space="0"/>
            </w:tcBorders>
            <w:noWrap w:val="0"/>
            <w:vAlign w:val="center"/>
          </w:tcPr>
          <w:p w14:paraId="688ABD05">
            <w:pPr>
              <w:spacing w:line="240" w:lineRule="atLeast"/>
              <w:jc w:val="center"/>
              <w:rPr>
                <w:rFonts w:hint="eastAsia" w:ascii="宋体" w:hAnsi="宋体" w:cs="宋体"/>
                <w:sz w:val="22"/>
                <w:szCs w:val="22"/>
              </w:rPr>
            </w:pPr>
            <w:r>
              <w:rPr>
                <w:rFonts w:hint="eastAsia" w:ascii="宋体" w:hAnsi="宋体" w:cs="宋体"/>
                <w:sz w:val="22"/>
                <w:szCs w:val="22"/>
              </w:rPr>
              <w:t>气体灭火器、灭火器</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7989F975">
            <w:pPr>
              <w:jc w:val="center"/>
              <w:rPr>
                <w:rFonts w:hint="eastAsia" w:ascii="宋体" w:hAnsi="宋体" w:cs="宋体"/>
                <w:sz w:val="22"/>
                <w:szCs w:val="22"/>
              </w:rPr>
            </w:pPr>
            <w:r>
              <w:rPr>
                <w:rFonts w:hint="eastAsia" w:ascii="宋体" w:hAnsi="宋体" w:cs="宋体"/>
                <w:sz w:val="22"/>
                <w:szCs w:val="22"/>
              </w:rPr>
              <w:t>广东胜捷、上海金盾、天盾、海烙、桂安、三星、气龙</w:t>
            </w:r>
          </w:p>
        </w:tc>
      </w:tr>
      <w:tr w14:paraId="1D0CCE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50F2414A">
            <w:pPr>
              <w:spacing w:line="240" w:lineRule="atLeast"/>
              <w:jc w:val="center"/>
              <w:rPr>
                <w:rFonts w:ascii="宋体" w:hAnsi="宋体" w:cs="宋体"/>
                <w:sz w:val="22"/>
                <w:szCs w:val="22"/>
              </w:rPr>
            </w:pPr>
            <w:r>
              <w:rPr>
                <w:rFonts w:hint="eastAsia" w:ascii="宋体" w:hAnsi="宋体" w:cs="宋体"/>
                <w:sz w:val="22"/>
                <w:szCs w:val="22"/>
              </w:rPr>
              <w:t>18</w:t>
            </w:r>
          </w:p>
        </w:tc>
        <w:tc>
          <w:tcPr>
            <w:tcW w:w="2452" w:type="dxa"/>
            <w:tcBorders>
              <w:top w:val="outset" w:color="auto" w:sz="6" w:space="0"/>
              <w:left w:val="outset" w:color="auto" w:sz="6" w:space="0"/>
              <w:right w:val="outset" w:color="auto" w:sz="6" w:space="0"/>
            </w:tcBorders>
            <w:noWrap w:val="0"/>
            <w:vAlign w:val="center"/>
          </w:tcPr>
          <w:p w14:paraId="1E89CACB">
            <w:pPr>
              <w:spacing w:line="240" w:lineRule="atLeast"/>
              <w:jc w:val="center"/>
              <w:rPr>
                <w:rFonts w:hint="eastAsia" w:ascii="宋体" w:hAnsi="宋体" w:cs="宋体"/>
                <w:sz w:val="22"/>
                <w:szCs w:val="22"/>
              </w:rPr>
            </w:pPr>
            <w:r>
              <w:rPr>
                <w:rFonts w:hint="eastAsia" w:ascii="宋体" w:hAnsi="宋体" w:cs="宋体"/>
                <w:sz w:val="22"/>
                <w:szCs w:val="22"/>
              </w:rPr>
              <w:t>橡胶接头、不锈钢软接头器、不锈钢波纹补偿器</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73BFE062">
            <w:pPr>
              <w:jc w:val="center"/>
              <w:rPr>
                <w:rFonts w:hint="eastAsia" w:ascii="宋体" w:hAnsi="宋体" w:cs="宋体"/>
                <w:sz w:val="22"/>
                <w:szCs w:val="22"/>
              </w:rPr>
            </w:pPr>
            <w:r>
              <w:rPr>
                <w:rFonts w:hint="eastAsia" w:ascii="宋体" w:hAnsi="宋体" w:cs="宋体"/>
                <w:sz w:val="22"/>
                <w:szCs w:val="22"/>
              </w:rPr>
              <w:t>九峰、北京首航、杭州万全</w:t>
            </w:r>
          </w:p>
        </w:tc>
      </w:tr>
      <w:tr w14:paraId="590692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0DA707F1">
            <w:pPr>
              <w:spacing w:line="240" w:lineRule="atLeast"/>
              <w:jc w:val="center"/>
              <w:rPr>
                <w:rFonts w:ascii="宋体" w:hAnsi="宋体" w:cs="宋体"/>
                <w:sz w:val="22"/>
                <w:szCs w:val="22"/>
              </w:rPr>
            </w:pPr>
            <w:r>
              <w:rPr>
                <w:rFonts w:hint="eastAsia" w:ascii="宋体" w:hAnsi="宋体" w:cs="宋体"/>
                <w:sz w:val="22"/>
                <w:szCs w:val="22"/>
              </w:rPr>
              <w:t>19</w:t>
            </w:r>
          </w:p>
        </w:tc>
        <w:tc>
          <w:tcPr>
            <w:tcW w:w="2452" w:type="dxa"/>
            <w:tcBorders>
              <w:top w:val="outset" w:color="auto" w:sz="6" w:space="0"/>
              <w:left w:val="outset" w:color="auto" w:sz="6" w:space="0"/>
              <w:right w:val="outset" w:color="auto" w:sz="6" w:space="0"/>
            </w:tcBorders>
            <w:noWrap w:val="0"/>
            <w:vAlign w:val="center"/>
          </w:tcPr>
          <w:p w14:paraId="34E1CFA9">
            <w:pPr>
              <w:spacing w:line="240" w:lineRule="atLeast"/>
              <w:jc w:val="center"/>
              <w:rPr>
                <w:rFonts w:hint="eastAsia" w:ascii="宋体" w:hAnsi="宋体" w:cs="宋体"/>
                <w:sz w:val="22"/>
                <w:szCs w:val="22"/>
              </w:rPr>
            </w:pPr>
            <w:r>
              <w:rPr>
                <w:rFonts w:hint="eastAsia" w:ascii="宋体" w:hAnsi="宋体" w:cs="宋体"/>
                <w:sz w:val="22"/>
                <w:szCs w:val="22"/>
              </w:rPr>
              <w:t>不锈钢水箱、玻璃钢水箱</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610923B7">
            <w:pPr>
              <w:jc w:val="center"/>
              <w:rPr>
                <w:rFonts w:hint="eastAsia" w:ascii="宋体" w:hAnsi="宋体" w:cs="宋体"/>
                <w:sz w:val="22"/>
                <w:szCs w:val="22"/>
              </w:rPr>
            </w:pPr>
            <w:r>
              <w:rPr>
                <w:rFonts w:hint="eastAsia" w:ascii="宋体" w:hAnsi="宋体" w:cs="宋体"/>
                <w:sz w:val="22"/>
                <w:szCs w:val="22"/>
              </w:rPr>
              <w:t>深圳市恒泰昌、广州龙康水箱、广州昌宁机电</w:t>
            </w:r>
          </w:p>
        </w:tc>
      </w:tr>
      <w:tr w14:paraId="72AFC5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69C212FD">
            <w:pPr>
              <w:spacing w:line="240" w:lineRule="atLeast"/>
              <w:jc w:val="center"/>
              <w:rPr>
                <w:rFonts w:ascii="宋体" w:hAnsi="宋体" w:cs="宋体"/>
                <w:sz w:val="22"/>
                <w:szCs w:val="22"/>
              </w:rPr>
            </w:pPr>
            <w:r>
              <w:rPr>
                <w:rFonts w:hint="eastAsia" w:ascii="宋体" w:hAnsi="宋体" w:cs="宋体"/>
                <w:sz w:val="22"/>
                <w:szCs w:val="22"/>
              </w:rPr>
              <w:t>20</w:t>
            </w:r>
          </w:p>
        </w:tc>
        <w:tc>
          <w:tcPr>
            <w:tcW w:w="2452" w:type="dxa"/>
            <w:tcBorders>
              <w:top w:val="outset" w:color="auto" w:sz="6" w:space="0"/>
              <w:left w:val="outset" w:color="auto" w:sz="6" w:space="0"/>
              <w:right w:val="outset" w:color="auto" w:sz="6" w:space="0"/>
            </w:tcBorders>
            <w:noWrap w:val="0"/>
            <w:vAlign w:val="center"/>
          </w:tcPr>
          <w:p w14:paraId="28123B3D">
            <w:pPr>
              <w:spacing w:line="240" w:lineRule="atLeast"/>
              <w:jc w:val="center"/>
              <w:rPr>
                <w:rFonts w:hint="eastAsia" w:ascii="宋体" w:hAnsi="宋体" w:cs="宋体"/>
                <w:sz w:val="22"/>
                <w:szCs w:val="22"/>
              </w:rPr>
            </w:pPr>
            <w:r>
              <w:rPr>
                <w:rFonts w:hint="eastAsia" w:ascii="宋体" w:hAnsi="宋体" w:cs="宋体"/>
                <w:sz w:val="22"/>
                <w:szCs w:val="22"/>
              </w:rPr>
              <w:t>铜阀</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114DB492">
            <w:pPr>
              <w:jc w:val="center"/>
              <w:rPr>
                <w:rFonts w:hint="eastAsia" w:ascii="宋体" w:hAnsi="宋体" w:cs="宋体"/>
                <w:sz w:val="22"/>
                <w:szCs w:val="22"/>
              </w:rPr>
            </w:pPr>
            <w:r>
              <w:rPr>
                <w:rFonts w:hint="eastAsia" w:ascii="宋体" w:hAnsi="宋体" w:cs="宋体"/>
                <w:sz w:val="22"/>
                <w:szCs w:val="22"/>
              </w:rPr>
              <w:t>埃美柯、盾安、华龙巨水</w:t>
            </w:r>
          </w:p>
        </w:tc>
      </w:tr>
      <w:tr w14:paraId="38825F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70" w:type="dxa"/>
            <w:tcBorders>
              <w:top w:val="outset" w:color="auto" w:sz="6" w:space="0"/>
              <w:left w:val="outset" w:color="auto" w:sz="6" w:space="0"/>
              <w:right w:val="outset" w:color="auto" w:sz="6" w:space="0"/>
            </w:tcBorders>
            <w:noWrap w:val="0"/>
            <w:vAlign w:val="center"/>
          </w:tcPr>
          <w:p w14:paraId="4D966613">
            <w:pPr>
              <w:spacing w:line="240" w:lineRule="atLeast"/>
              <w:jc w:val="center"/>
              <w:rPr>
                <w:rFonts w:ascii="宋体" w:hAnsi="宋体" w:cs="宋体"/>
                <w:sz w:val="22"/>
                <w:szCs w:val="22"/>
              </w:rPr>
            </w:pPr>
            <w:r>
              <w:rPr>
                <w:rFonts w:hint="eastAsia" w:ascii="宋体" w:hAnsi="宋体" w:cs="宋体"/>
                <w:sz w:val="22"/>
                <w:szCs w:val="22"/>
              </w:rPr>
              <w:t>21</w:t>
            </w:r>
          </w:p>
        </w:tc>
        <w:tc>
          <w:tcPr>
            <w:tcW w:w="2452" w:type="dxa"/>
            <w:tcBorders>
              <w:top w:val="outset" w:color="auto" w:sz="6" w:space="0"/>
              <w:left w:val="outset" w:color="auto" w:sz="6" w:space="0"/>
              <w:right w:val="outset" w:color="auto" w:sz="6" w:space="0"/>
            </w:tcBorders>
            <w:noWrap w:val="0"/>
            <w:vAlign w:val="center"/>
          </w:tcPr>
          <w:p w14:paraId="6B4E8DC8">
            <w:pPr>
              <w:jc w:val="center"/>
              <w:rPr>
                <w:rFonts w:hint="eastAsia" w:ascii="宋体" w:hAnsi="宋体" w:cs="宋体"/>
                <w:sz w:val="22"/>
                <w:szCs w:val="22"/>
              </w:rPr>
            </w:pPr>
            <w:r>
              <w:rPr>
                <w:rFonts w:hint="eastAsia" w:ascii="宋体" w:hAnsi="宋体" w:cs="宋体"/>
                <w:sz w:val="22"/>
                <w:szCs w:val="22"/>
              </w:rPr>
              <w:t>管道附件：水龙头、软管、直通、弯头、卡码、花洒、去水器、排水软管、卫浴用品、胶水、玻璃胶等）</w:t>
            </w:r>
          </w:p>
        </w:tc>
        <w:tc>
          <w:tcPr>
            <w:tcW w:w="5245" w:type="dxa"/>
            <w:tcBorders>
              <w:top w:val="outset" w:color="auto" w:sz="6" w:space="0"/>
              <w:left w:val="outset" w:color="auto" w:sz="6" w:space="0"/>
              <w:bottom w:val="outset" w:color="auto" w:sz="6" w:space="0"/>
              <w:right w:val="outset" w:color="auto" w:sz="6" w:space="0"/>
            </w:tcBorders>
            <w:noWrap w:val="0"/>
            <w:vAlign w:val="center"/>
          </w:tcPr>
          <w:p w14:paraId="6B7823DF">
            <w:pPr>
              <w:jc w:val="center"/>
              <w:rPr>
                <w:rFonts w:hint="eastAsia" w:ascii="宋体" w:hAnsi="宋体" w:cs="宋体"/>
                <w:sz w:val="22"/>
                <w:szCs w:val="22"/>
              </w:rPr>
            </w:pPr>
            <w:r>
              <w:rPr>
                <w:rFonts w:hint="eastAsia" w:ascii="宋体" w:hAnsi="宋体" w:cs="宋体"/>
                <w:sz w:val="22"/>
                <w:szCs w:val="22"/>
              </w:rPr>
              <w:t>联塑、埃美柯、箭牌卫浴、欧宝斯</w:t>
            </w:r>
          </w:p>
        </w:tc>
      </w:tr>
    </w:tbl>
    <w:p w14:paraId="2E8460B2">
      <w:pPr>
        <w:rPr>
          <w:rFonts w:hint="eastAsia" w:ascii="宋体" w:hAnsi="宋体" w:cs="宋体"/>
          <w:b/>
          <w:szCs w:val="21"/>
        </w:rPr>
      </w:pPr>
    </w:p>
    <w:p w14:paraId="73305015">
      <w:pPr>
        <w:jc w:val="center"/>
        <w:rPr>
          <w:rFonts w:hint="eastAsia" w:ascii="宋体" w:hAnsi="宋体" w:cs="宋体"/>
          <w:sz w:val="22"/>
          <w:szCs w:val="22"/>
        </w:rPr>
      </w:pPr>
      <w:r>
        <w:rPr>
          <w:rFonts w:hint="eastAsia" w:ascii="宋体" w:hAnsi="宋体" w:cs="宋体"/>
          <w:b/>
          <w:sz w:val="22"/>
          <w:szCs w:val="22"/>
        </w:rPr>
        <w:t>暖通空调类材料设备参考品牌库</w:t>
      </w:r>
    </w:p>
    <w:tbl>
      <w:tblPr>
        <w:tblStyle w:val="9"/>
        <w:tblpPr w:leftFromText="180" w:rightFromText="180" w:vertAnchor="text" w:tblpXSpec="center" w:tblpY="1"/>
        <w:tblOverlap w:val="never"/>
        <w:tblW w:w="853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81"/>
        <w:gridCol w:w="2498"/>
        <w:gridCol w:w="5354"/>
      </w:tblGrid>
      <w:tr w14:paraId="3CCBBC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1" w:type="dxa"/>
            <w:tcBorders>
              <w:top w:val="outset" w:color="auto" w:sz="6" w:space="0"/>
              <w:left w:val="outset" w:color="auto" w:sz="6" w:space="0"/>
              <w:right w:val="outset" w:color="auto" w:sz="6" w:space="0"/>
            </w:tcBorders>
            <w:noWrap w:val="0"/>
            <w:vAlign w:val="center"/>
          </w:tcPr>
          <w:p w14:paraId="638388ED">
            <w:pPr>
              <w:spacing w:line="240" w:lineRule="atLeast"/>
              <w:jc w:val="center"/>
              <w:rPr>
                <w:rFonts w:hint="eastAsia" w:ascii="宋体" w:hAnsi="宋体" w:cs="宋体"/>
                <w:b/>
                <w:sz w:val="22"/>
                <w:szCs w:val="22"/>
              </w:rPr>
            </w:pPr>
            <w:r>
              <w:rPr>
                <w:rFonts w:hint="eastAsia" w:ascii="宋体" w:hAnsi="宋体" w:cs="宋体"/>
                <w:b/>
                <w:sz w:val="22"/>
                <w:szCs w:val="22"/>
              </w:rPr>
              <w:t>编号</w:t>
            </w:r>
          </w:p>
        </w:tc>
        <w:tc>
          <w:tcPr>
            <w:tcW w:w="2498" w:type="dxa"/>
            <w:tcBorders>
              <w:top w:val="outset" w:color="auto" w:sz="6" w:space="0"/>
              <w:left w:val="outset" w:color="auto" w:sz="6" w:space="0"/>
              <w:right w:val="outset" w:color="auto" w:sz="6" w:space="0"/>
            </w:tcBorders>
            <w:noWrap w:val="0"/>
            <w:vAlign w:val="center"/>
          </w:tcPr>
          <w:p w14:paraId="2F20D4B2">
            <w:pPr>
              <w:spacing w:line="240" w:lineRule="atLeast"/>
              <w:jc w:val="center"/>
              <w:rPr>
                <w:rFonts w:hint="eastAsia" w:ascii="宋体" w:hAnsi="宋体" w:cs="宋体"/>
                <w:b/>
                <w:sz w:val="22"/>
                <w:szCs w:val="22"/>
              </w:rPr>
            </w:pPr>
            <w:r>
              <w:rPr>
                <w:rFonts w:hint="eastAsia" w:ascii="宋体" w:hAnsi="宋体" w:cs="宋体"/>
                <w:b/>
                <w:sz w:val="22"/>
                <w:szCs w:val="22"/>
              </w:rPr>
              <w:t>材料设备品种</w:t>
            </w:r>
          </w:p>
        </w:tc>
        <w:tc>
          <w:tcPr>
            <w:tcW w:w="5354" w:type="dxa"/>
            <w:tcBorders>
              <w:top w:val="outset" w:color="auto" w:sz="6" w:space="0"/>
              <w:left w:val="outset" w:color="auto" w:sz="6" w:space="0"/>
              <w:bottom w:val="outset" w:color="auto" w:sz="6" w:space="0"/>
              <w:right w:val="outset" w:color="auto" w:sz="6" w:space="0"/>
            </w:tcBorders>
            <w:noWrap w:val="0"/>
            <w:vAlign w:val="center"/>
          </w:tcPr>
          <w:p w14:paraId="052027E8">
            <w:pPr>
              <w:jc w:val="center"/>
              <w:rPr>
                <w:rFonts w:hint="eastAsia" w:ascii="宋体" w:hAnsi="宋体" w:cs="宋体"/>
                <w:b/>
                <w:sz w:val="22"/>
                <w:szCs w:val="22"/>
              </w:rPr>
            </w:pPr>
            <w:r>
              <w:rPr>
                <w:rFonts w:hint="eastAsia" w:ascii="宋体" w:hAnsi="宋体" w:cs="宋体"/>
                <w:b/>
                <w:sz w:val="22"/>
                <w:szCs w:val="22"/>
              </w:rPr>
              <w:t>参考品牌</w:t>
            </w:r>
          </w:p>
        </w:tc>
      </w:tr>
      <w:tr w14:paraId="5AF7FF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1" w:type="dxa"/>
            <w:tcBorders>
              <w:top w:val="outset" w:color="auto" w:sz="6" w:space="0"/>
              <w:left w:val="outset" w:color="auto" w:sz="6" w:space="0"/>
              <w:right w:val="outset" w:color="auto" w:sz="6" w:space="0"/>
            </w:tcBorders>
            <w:noWrap w:val="0"/>
            <w:vAlign w:val="center"/>
          </w:tcPr>
          <w:p w14:paraId="05B355E5">
            <w:pPr>
              <w:spacing w:line="240" w:lineRule="atLeast"/>
              <w:jc w:val="center"/>
              <w:rPr>
                <w:rFonts w:hint="eastAsia" w:ascii="宋体" w:hAnsi="宋体" w:cs="宋体"/>
                <w:sz w:val="22"/>
                <w:szCs w:val="22"/>
              </w:rPr>
            </w:pPr>
            <w:r>
              <w:rPr>
                <w:rFonts w:hint="eastAsia" w:ascii="宋体" w:hAnsi="宋体" w:cs="宋体"/>
                <w:sz w:val="22"/>
                <w:szCs w:val="22"/>
              </w:rPr>
              <w:t>1</w:t>
            </w:r>
          </w:p>
        </w:tc>
        <w:tc>
          <w:tcPr>
            <w:tcW w:w="2498" w:type="dxa"/>
            <w:tcBorders>
              <w:top w:val="outset" w:color="auto" w:sz="6" w:space="0"/>
              <w:left w:val="outset" w:color="auto" w:sz="6" w:space="0"/>
              <w:right w:val="outset" w:color="auto" w:sz="6" w:space="0"/>
            </w:tcBorders>
            <w:noWrap w:val="0"/>
            <w:vAlign w:val="center"/>
          </w:tcPr>
          <w:p w14:paraId="437D5AE7">
            <w:pPr>
              <w:spacing w:line="240" w:lineRule="atLeast"/>
              <w:jc w:val="center"/>
              <w:rPr>
                <w:rFonts w:hint="eastAsia" w:ascii="宋体" w:hAnsi="宋体" w:cs="宋体"/>
                <w:sz w:val="22"/>
                <w:szCs w:val="22"/>
              </w:rPr>
            </w:pPr>
            <w:r>
              <w:rPr>
                <w:rFonts w:hint="eastAsia" w:ascii="宋体" w:hAnsi="宋体" w:cs="宋体"/>
                <w:sz w:val="22"/>
                <w:szCs w:val="22"/>
              </w:rPr>
              <w:t>空调末端（空调机组、风机盘管、新风机组、恒温恒湿机）</w:t>
            </w:r>
          </w:p>
        </w:tc>
        <w:tc>
          <w:tcPr>
            <w:tcW w:w="5354" w:type="dxa"/>
            <w:tcBorders>
              <w:top w:val="outset" w:color="auto" w:sz="6" w:space="0"/>
              <w:left w:val="outset" w:color="auto" w:sz="6" w:space="0"/>
              <w:bottom w:val="outset" w:color="auto" w:sz="6" w:space="0"/>
              <w:right w:val="outset" w:color="auto" w:sz="6" w:space="0"/>
            </w:tcBorders>
            <w:noWrap w:val="0"/>
            <w:vAlign w:val="center"/>
          </w:tcPr>
          <w:p w14:paraId="4A1615E0">
            <w:pPr>
              <w:jc w:val="center"/>
              <w:rPr>
                <w:rFonts w:hint="eastAsia" w:ascii="宋体" w:hAnsi="宋体" w:cs="宋体"/>
                <w:sz w:val="22"/>
                <w:szCs w:val="22"/>
              </w:rPr>
            </w:pPr>
            <w:r>
              <w:rPr>
                <w:rFonts w:hint="eastAsia" w:ascii="宋体" w:hAnsi="宋体" w:cs="宋体"/>
                <w:sz w:val="22"/>
                <w:szCs w:val="22"/>
              </w:rPr>
              <w:t>特灵、爱科、麦克维尔、开利、约克</w:t>
            </w:r>
          </w:p>
        </w:tc>
      </w:tr>
      <w:tr w14:paraId="768F70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1" w:type="dxa"/>
            <w:tcBorders>
              <w:top w:val="outset" w:color="auto" w:sz="6" w:space="0"/>
              <w:left w:val="outset" w:color="auto" w:sz="6" w:space="0"/>
              <w:right w:val="outset" w:color="auto" w:sz="6" w:space="0"/>
            </w:tcBorders>
            <w:noWrap w:val="0"/>
            <w:vAlign w:val="center"/>
          </w:tcPr>
          <w:p w14:paraId="561D14BF">
            <w:pPr>
              <w:spacing w:line="240" w:lineRule="atLeast"/>
              <w:jc w:val="center"/>
              <w:rPr>
                <w:rFonts w:hint="eastAsia" w:ascii="宋体" w:hAnsi="宋体" w:cs="宋体"/>
                <w:sz w:val="22"/>
                <w:szCs w:val="22"/>
              </w:rPr>
            </w:pPr>
            <w:r>
              <w:rPr>
                <w:rFonts w:hint="eastAsia" w:ascii="宋体" w:hAnsi="宋体" w:cs="宋体"/>
                <w:sz w:val="22"/>
                <w:szCs w:val="22"/>
              </w:rPr>
              <w:t>2</w:t>
            </w:r>
          </w:p>
        </w:tc>
        <w:tc>
          <w:tcPr>
            <w:tcW w:w="2498" w:type="dxa"/>
            <w:tcBorders>
              <w:top w:val="outset" w:color="auto" w:sz="6" w:space="0"/>
              <w:left w:val="outset" w:color="auto" w:sz="6" w:space="0"/>
              <w:right w:val="outset" w:color="auto" w:sz="6" w:space="0"/>
            </w:tcBorders>
            <w:noWrap w:val="0"/>
            <w:vAlign w:val="center"/>
          </w:tcPr>
          <w:p w14:paraId="4780ED5D">
            <w:pPr>
              <w:adjustRightInd w:val="0"/>
              <w:snapToGrid w:val="0"/>
              <w:jc w:val="center"/>
              <w:rPr>
                <w:rFonts w:hint="eastAsia" w:ascii="宋体" w:hAnsi="宋体" w:cs="宋体"/>
                <w:sz w:val="22"/>
                <w:szCs w:val="22"/>
              </w:rPr>
            </w:pPr>
            <w:r>
              <w:rPr>
                <w:rFonts w:hint="eastAsia" w:ascii="宋体" w:hAnsi="宋体" w:cs="宋体"/>
                <w:sz w:val="22"/>
                <w:szCs w:val="22"/>
              </w:rPr>
              <w:t>分体空调</w:t>
            </w:r>
          </w:p>
        </w:tc>
        <w:tc>
          <w:tcPr>
            <w:tcW w:w="5354" w:type="dxa"/>
            <w:tcBorders>
              <w:top w:val="outset" w:color="auto" w:sz="6" w:space="0"/>
              <w:left w:val="outset" w:color="auto" w:sz="6" w:space="0"/>
              <w:bottom w:val="outset" w:color="auto" w:sz="6" w:space="0"/>
              <w:right w:val="outset" w:color="auto" w:sz="6" w:space="0"/>
            </w:tcBorders>
            <w:noWrap w:val="0"/>
            <w:vAlign w:val="center"/>
          </w:tcPr>
          <w:p w14:paraId="40C5EBE5">
            <w:pPr>
              <w:jc w:val="center"/>
              <w:rPr>
                <w:rFonts w:hint="eastAsia" w:ascii="宋体" w:hAnsi="宋体" w:cs="宋体"/>
                <w:sz w:val="22"/>
                <w:szCs w:val="22"/>
              </w:rPr>
            </w:pPr>
            <w:r>
              <w:rPr>
                <w:rFonts w:hint="eastAsia" w:ascii="宋体" w:hAnsi="宋体" w:cs="宋体"/>
                <w:sz w:val="22"/>
                <w:szCs w:val="22"/>
              </w:rPr>
              <w:t>格力、美的、海尔、</w:t>
            </w:r>
          </w:p>
        </w:tc>
      </w:tr>
      <w:tr w14:paraId="07DBEF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1" w:type="dxa"/>
            <w:tcBorders>
              <w:top w:val="outset" w:color="auto" w:sz="6" w:space="0"/>
              <w:left w:val="outset" w:color="auto" w:sz="6" w:space="0"/>
              <w:right w:val="outset" w:color="auto" w:sz="6" w:space="0"/>
            </w:tcBorders>
            <w:noWrap w:val="0"/>
            <w:vAlign w:val="center"/>
          </w:tcPr>
          <w:p w14:paraId="66784E51">
            <w:pPr>
              <w:spacing w:line="240" w:lineRule="atLeast"/>
              <w:jc w:val="center"/>
              <w:rPr>
                <w:rFonts w:hint="eastAsia" w:ascii="宋体" w:hAnsi="宋体" w:cs="宋体"/>
                <w:sz w:val="22"/>
                <w:szCs w:val="22"/>
              </w:rPr>
            </w:pPr>
            <w:r>
              <w:rPr>
                <w:rFonts w:hint="eastAsia" w:ascii="宋体" w:hAnsi="宋体" w:cs="宋体"/>
                <w:sz w:val="22"/>
                <w:szCs w:val="22"/>
              </w:rPr>
              <w:t>3</w:t>
            </w:r>
          </w:p>
        </w:tc>
        <w:tc>
          <w:tcPr>
            <w:tcW w:w="2498" w:type="dxa"/>
            <w:tcBorders>
              <w:top w:val="outset" w:color="auto" w:sz="6" w:space="0"/>
              <w:left w:val="outset" w:color="auto" w:sz="6" w:space="0"/>
              <w:right w:val="outset" w:color="auto" w:sz="6" w:space="0"/>
            </w:tcBorders>
            <w:noWrap w:val="0"/>
            <w:vAlign w:val="center"/>
          </w:tcPr>
          <w:p w14:paraId="09C8F6E6">
            <w:pPr>
              <w:spacing w:line="240" w:lineRule="atLeast"/>
              <w:jc w:val="center"/>
              <w:rPr>
                <w:rFonts w:hint="eastAsia" w:ascii="宋体" w:hAnsi="宋体" w:cs="宋体"/>
                <w:sz w:val="22"/>
                <w:szCs w:val="22"/>
              </w:rPr>
            </w:pPr>
            <w:r>
              <w:rPr>
                <w:rFonts w:hint="eastAsia" w:ascii="宋体" w:hAnsi="宋体" w:cs="宋体"/>
                <w:sz w:val="22"/>
                <w:szCs w:val="22"/>
              </w:rPr>
              <w:t>风口风阀</w:t>
            </w:r>
          </w:p>
        </w:tc>
        <w:tc>
          <w:tcPr>
            <w:tcW w:w="5354" w:type="dxa"/>
            <w:tcBorders>
              <w:top w:val="outset" w:color="auto" w:sz="6" w:space="0"/>
              <w:left w:val="outset" w:color="auto" w:sz="6" w:space="0"/>
              <w:bottom w:val="outset" w:color="auto" w:sz="6" w:space="0"/>
              <w:right w:val="outset" w:color="auto" w:sz="6" w:space="0"/>
            </w:tcBorders>
            <w:noWrap w:val="0"/>
            <w:vAlign w:val="center"/>
          </w:tcPr>
          <w:p w14:paraId="33E42A81">
            <w:pPr>
              <w:jc w:val="center"/>
              <w:rPr>
                <w:rFonts w:hint="eastAsia" w:ascii="宋体" w:hAnsi="宋体" w:cs="宋体"/>
                <w:sz w:val="22"/>
                <w:szCs w:val="22"/>
              </w:rPr>
            </w:pPr>
            <w:r>
              <w:rPr>
                <w:rFonts w:hint="eastAsia" w:ascii="宋体" w:hAnsi="宋体" w:cs="宋体"/>
                <w:sz w:val="22"/>
                <w:szCs w:val="22"/>
              </w:rPr>
              <w:t>妥思、贵庭、中航大记、龙电、耀安、开思拓、苏亚</w:t>
            </w:r>
          </w:p>
        </w:tc>
      </w:tr>
      <w:tr w14:paraId="3D679E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1" w:type="dxa"/>
            <w:tcBorders>
              <w:top w:val="outset" w:color="auto" w:sz="6" w:space="0"/>
              <w:left w:val="outset" w:color="auto" w:sz="6" w:space="0"/>
              <w:right w:val="outset" w:color="auto" w:sz="6" w:space="0"/>
            </w:tcBorders>
            <w:noWrap w:val="0"/>
            <w:vAlign w:val="center"/>
          </w:tcPr>
          <w:p w14:paraId="78A6B257">
            <w:pPr>
              <w:spacing w:line="240" w:lineRule="atLeast"/>
              <w:jc w:val="center"/>
              <w:rPr>
                <w:rFonts w:hint="eastAsia" w:ascii="宋体" w:hAnsi="宋体" w:cs="宋体"/>
                <w:sz w:val="22"/>
                <w:szCs w:val="22"/>
              </w:rPr>
            </w:pPr>
            <w:r>
              <w:rPr>
                <w:rFonts w:hint="eastAsia" w:ascii="宋体" w:hAnsi="宋体" w:cs="宋体"/>
                <w:sz w:val="22"/>
                <w:szCs w:val="22"/>
              </w:rPr>
              <w:t>4</w:t>
            </w:r>
          </w:p>
        </w:tc>
        <w:tc>
          <w:tcPr>
            <w:tcW w:w="2498" w:type="dxa"/>
            <w:tcBorders>
              <w:top w:val="outset" w:color="auto" w:sz="6" w:space="0"/>
              <w:left w:val="outset" w:color="auto" w:sz="6" w:space="0"/>
              <w:right w:val="outset" w:color="auto" w:sz="6" w:space="0"/>
            </w:tcBorders>
            <w:noWrap w:val="0"/>
            <w:vAlign w:val="center"/>
          </w:tcPr>
          <w:p w14:paraId="7EA6D1CB">
            <w:pPr>
              <w:adjustRightInd w:val="0"/>
              <w:snapToGrid w:val="0"/>
              <w:jc w:val="center"/>
              <w:rPr>
                <w:rFonts w:hint="eastAsia" w:ascii="宋体" w:hAnsi="宋体" w:cs="宋体"/>
                <w:sz w:val="22"/>
                <w:szCs w:val="22"/>
              </w:rPr>
            </w:pPr>
            <w:r>
              <w:rPr>
                <w:rFonts w:hint="eastAsia" w:ascii="宋体" w:hAnsi="宋体" w:cs="宋体"/>
                <w:sz w:val="22"/>
                <w:szCs w:val="22"/>
              </w:rPr>
              <w:t>风机</w:t>
            </w:r>
          </w:p>
        </w:tc>
        <w:tc>
          <w:tcPr>
            <w:tcW w:w="5354" w:type="dxa"/>
            <w:tcBorders>
              <w:top w:val="outset" w:color="auto" w:sz="6" w:space="0"/>
              <w:left w:val="outset" w:color="auto" w:sz="6" w:space="0"/>
              <w:bottom w:val="outset" w:color="auto" w:sz="6" w:space="0"/>
              <w:right w:val="outset" w:color="auto" w:sz="6" w:space="0"/>
            </w:tcBorders>
            <w:noWrap w:val="0"/>
            <w:vAlign w:val="center"/>
          </w:tcPr>
          <w:p w14:paraId="06840602">
            <w:pPr>
              <w:jc w:val="center"/>
              <w:rPr>
                <w:rFonts w:hint="eastAsia" w:ascii="宋体" w:hAnsi="宋体" w:cs="宋体"/>
                <w:sz w:val="22"/>
                <w:szCs w:val="22"/>
              </w:rPr>
            </w:pPr>
            <w:r>
              <w:rPr>
                <w:rFonts w:hint="eastAsia" w:ascii="宋体" w:hAnsi="宋体" w:cs="宋体"/>
                <w:sz w:val="22"/>
                <w:szCs w:val="22"/>
              </w:rPr>
              <w:t>科禄格、南泰（南方风机）、亿利达、英飞、金盾、皇家动力、应达</w:t>
            </w:r>
          </w:p>
        </w:tc>
      </w:tr>
      <w:tr w14:paraId="3E40B8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1" w:type="dxa"/>
            <w:tcBorders>
              <w:top w:val="outset" w:color="auto" w:sz="6" w:space="0"/>
              <w:left w:val="outset" w:color="auto" w:sz="6" w:space="0"/>
              <w:right w:val="outset" w:color="auto" w:sz="6" w:space="0"/>
            </w:tcBorders>
            <w:noWrap w:val="0"/>
            <w:vAlign w:val="center"/>
          </w:tcPr>
          <w:p w14:paraId="07296A70">
            <w:pPr>
              <w:spacing w:line="240" w:lineRule="atLeast"/>
              <w:jc w:val="center"/>
              <w:rPr>
                <w:rFonts w:ascii="宋体" w:hAnsi="宋体" w:cs="宋体"/>
                <w:sz w:val="22"/>
                <w:szCs w:val="22"/>
              </w:rPr>
            </w:pPr>
            <w:r>
              <w:rPr>
                <w:rFonts w:hint="eastAsia" w:ascii="宋体" w:hAnsi="宋体" w:cs="宋体"/>
                <w:sz w:val="22"/>
                <w:szCs w:val="22"/>
              </w:rPr>
              <w:t>5</w:t>
            </w:r>
          </w:p>
        </w:tc>
        <w:tc>
          <w:tcPr>
            <w:tcW w:w="2498" w:type="dxa"/>
            <w:tcBorders>
              <w:top w:val="outset" w:color="auto" w:sz="6" w:space="0"/>
              <w:left w:val="outset" w:color="auto" w:sz="6" w:space="0"/>
              <w:right w:val="outset" w:color="auto" w:sz="6" w:space="0"/>
            </w:tcBorders>
            <w:noWrap w:val="0"/>
            <w:vAlign w:val="center"/>
          </w:tcPr>
          <w:p w14:paraId="69C1586F">
            <w:pPr>
              <w:spacing w:line="240" w:lineRule="atLeast"/>
              <w:jc w:val="center"/>
              <w:rPr>
                <w:rFonts w:hint="eastAsia" w:ascii="宋体" w:hAnsi="宋体" w:cs="宋体"/>
                <w:sz w:val="22"/>
                <w:szCs w:val="22"/>
              </w:rPr>
            </w:pPr>
            <w:r>
              <w:rPr>
                <w:rFonts w:hint="eastAsia" w:ascii="宋体" w:hAnsi="宋体" w:cs="宋体"/>
                <w:sz w:val="22"/>
                <w:szCs w:val="22"/>
              </w:rPr>
              <w:t>橡塑保温材料</w:t>
            </w:r>
          </w:p>
        </w:tc>
        <w:tc>
          <w:tcPr>
            <w:tcW w:w="5354" w:type="dxa"/>
            <w:tcBorders>
              <w:top w:val="outset" w:color="auto" w:sz="6" w:space="0"/>
              <w:left w:val="outset" w:color="auto" w:sz="6" w:space="0"/>
              <w:bottom w:val="outset" w:color="auto" w:sz="6" w:space="0"/>
              <w:right w:val="outset" w:color="auto" w:sz="6" w:space="0"/>
            </w:tcBorders>
            <w:noWrap w:val="0"/>
            <w:vAlign w:val="center"/>
          </w:tcPr>
          <w:p w14:paraId="0879A7F3">
            <w:pPr>
              <w:jc w:val="center"/>
              <w:rPr>
                <w:rFonts w:hint="eastAsia" w:ascii="宋体" w:hAnsi="宋体" w:cs="宋体"/>
                <w:sz w:val="22"/>
                <w:szCs w:val="22"/>
              </w:rPr>
            </w:pPr>
            <w:r>
              <w:rPr>
                <w:rFonts w:hint="eastAsia" w:ascii="宋体" w:hAnsi="宋体" w:cs="宋体"/>
                <w:sz w:val="22"/>
                <w:szCs w:val="22"/>
              </w:rPr>
              <w:t>阿乐斯、凯门、杜肯</w:t>
            </w:r>
          </w:p>
        </w:tc>
      </w:tr>
      <w:tr w14:paraId="625054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1" w:type="dxa"/>
            <w:tcBorders>
              <w:top w:val="outset" w:color="auto" w:sz="6" w:space="0"/>
              <w:left w:val="outset" w:color="auto" w:sz="6" w:space="0"/>
              <w:right w:val="outset" w:color="auto" w:sz="6" w:space="0"/>
            </w:tcBorders>
            <w:noWrap w:val="0"/>
            <w:vAlign w:val="center"/>
          </w:tcPr>
          <w:p w14:paraId="295DEC4A">
            <w:pPr>
              <w:spacing w:line="240" w:lineRule="atLeast"/>
              <w:jc w:val="center"/>
              <w:rPr>
                <w:rFonts w:hint="eastAsia" w:ascii="宋体" w:hAnsi="宋体" w:cs="宋体"/>
                <w:sz w:val="22"/>
                <w:szCs w:val="22"/>
              </w:rPr>
            </w:pPr>
            <w:r>
              <w:rPr>
                <w:rFonts w:hint="eastAsia" w:ascii="宋体" w:hAnsi="宋体" w:cs="宋体"/>
                <w:sz w:val="22"/>
                <w:szCs w:val="22"/>
              </w:rPr>
              <w:t>6</w:t>
            </w:r>
          </w:p>
        </w:tc>
        <w:tc>
          <w:tcPr>
            <w:tcW w:w="2498" w:type="dxa"/>
            <w:tcBorders>
              <w:top w:val="outset" w:color="auto" w:sz="6" w:space="0"/>
              <w:left w:val="outset" w:color="auto" w:sz="6" w:space="0"/>
              <w:right w:val="outset" w:color="auto" w:sz="6" w:space="0"/>
            </w:tcBorders>
            <w:noWrap w:val="0"/>
            <w:vAlign w:val="center"/>
          </w:tcPr>
          <w:p w14:paraId="028FB536">
            <w:pPr>
              <w:spacing w:line="240" w:lineRule="atLeast"/>
              <w:jc w:val="center"/>
              <w:rPr>
                <w:rFonts w:hint="eastAsia" w:ascii="宋体" w:hAnsi="宋体" w:cs="宋体"/>
                <w:sz w:val="22"/>
                <w:szCs w:val="22"/>
              </w:rPr>
            </w:pPr>
            <w:r>
              <w:rPr>
                <w:rFonts w:hint="eastAsia" w:ascii="宋体" w:hAnsi="宋体" w:cs="宋体"/>
                <w:sz w:val="22"/>
                <w:szCs w:val="22"/>
              </w:rPr>
              <w:t>电动蝶阀</w:t>
            </w:r>
          </w:p>
        </w:tc>
        <w:tc>
          <w:tcPr>
            <w:tcW w:w="5354" w:type="dxa"/>
            <w:tcBorders>
              <w:top w:val="outset" w:color="auto" w:sz="6" w:space="0"/>
              <w:left w:val="outset" w:color="auto" w:sz="6" w:space="0"/>
              <w:bottom w:val="outset" w:color="auto" w:sz="6" w:space="0"/>
              <w:right w:val="outset" w:color="auto" w:sz="6" w:space="0"/>
            </w:tcBorders>
            <w:noWrap w:val="0"/>
            <w:vAlign w:val="center"/>
          </w:tcPr>
          <w:p w14:paraId="53CF3E8E">
            <w:pPr>
              <w:jc w:val="center"/>
              <w:rPr>
                <w:rFonts w:hint="eastAsia" w:ascii="宋体" w:hAnsi="宋体" w:cs="宋体"/>
                <w:sz w:val="22"/>
                <w:szCs w:val="22"/>
              </w:rPr>
            </w:pPr>
            <w:r>
              <w:rPr>
                <w:rFonts w:hint="eastAsia" w:ascii="宋体" w:hAnsi="宋体" w:cs="宋体"/>
                <w:sz w:val="22"/>
                <w:szCs w:val="22"/>
              </w:rPr>
              <w:t>施耐德、搏力谋、沃茨、艾西、欧文托普</w:t>
            </w:r>
          </w:p>
        </w:tc>
      </w:tr>
      <w:tr w14:paraId="34A822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1" w:type="dxa"/>
            <w:tcBorders>
              <w:top w:val="outset" w:color="auto" w:sz="6" w:space="0"/>
              <w:left w:val="outset" w:color="auto" w:sz="6" w:space="0"/>
              <w:right w:val="outset" w:color="auto" w:sz="6" w:space="0"/>
            </w:tcBorders>
            <w:noWrap w:val="0"/>
            <w:vAlign w:val="center"/>
          </w:tcPr>
          <w:p w14:paraId="7400F4DF">
            <w:pPr>
              <w:spacing w:line="240" w:lineRule="atLeast"/>
              <w:jc w:val="center"/>
              <w:rPr>
                <w:rFonts w:hint="eastAsia" w:ascii="宋体" w:hAnsi="宋体" w:cs="宋体"/>
                <w:sz w:val="22"/>
                <w:szCs w:val="22"/>
              </w:rPr>
            </w:pPr>
            <w:r>
              <w:rPr>
                <w:rFonts w:hint="eastAsia" w:ascii="宋体" w:hAnsi="宋体" w:cs="宋体"/>
                <w:sz w:val="22"/>
                <w:szCs w:val="22"/>
              </w:rPr>
              <w:t>7</w:t>
            </w:r>
          </w:p>
        </w:tc>
        <w:tc>
          <w:tcPr>
            <w:tcW w:w="2498" w:type="dxa"/>
            <w:tcBorders>
              <w:top w:val="outset" w:color="auto" w:sz="6" w:space="0"/>
              <w:left w:val="outset" w:color="auto" w:sz="6" w:space="0"/>
              <w:right w:val="outset" w:color="auto" w:sz="6" w:space="0"/>
            </w:tcBorders>
            <w:noWrap w:val="0"/>
            <w:vAlign w:val="center"/>
          </w:tcPr>
          <w:p w14:paraId="2D8DC322">
            <w:pPr>
              <w:spacing w:line="240" w:lineRule="atLeast"/>
              <w:jc w:val="center"/>
              <w:rPr>
                <w:rFonts w:hint="eastAsia" w:ascii="宋体" w:hAnsi="宋体" w:cs="宋体"/>
                <w:sz w:val="22"/>
                <w:szCs w:val="22"/>
              </w:rPr>
            </w:pPr>
            <w:r>
              <w:rPr>
                <w:rFonts w:hint="eastAsia" w:ascii="宋体" w:hAnsi="宋体" w:cs="宋体"/>
                <w:sz w:val="22"/>
                <w:szCs w:val="22"/>
              </w:rPr>
              <w:t>电动比例积分阀，压差旁通控制阀</w:t>
            </w:r>
          </w:p>
        </w:tc>
        <w:tc>
          <w:tcPr>
            <w:tcW w:w="5354" w:type="dxa"/>
            <w:tcBorders>
              <w:top w:val="outset" w:color="auto" w:sz="6" w:space="0"/>
              <w:left w:val="outset" w:color="auto" w:sz="6" w:space="0"/>
              <w:bottom w:val="outset" w:color="auto" w:sz="6" w:space="0"/>
              <w:right w:val="outset" w:color="auto" w:sz="6" w:space="0"/>
            </w:tcBorders>
            <w:noWrap w:val="0"/>
            <w:vAlign w:val="center"/>
          </w:tcPr>
          <w:p w14:paraId="3E5CE36B">
            <w:pPr>
              <w:jc w:val="center"/>
              <w:rPr>
                <w:rFonts w:hint="eastAsia" w:ascii="宋体" w:hAnsi="宋体" w:cs="宋体"/>
                <w:sz w:val="22"/>
                <w:szCs w:val="22"/>
              </w:rPr>
            </w:pPr>
            <w:r>
              <w:rPr>
                <w:rFonts w:hint="eastAsia" w:ascii="宋体" w:hAnsi="宋体" w:cs="宋体"/>
                <w:sz w:val="22"/>
                <w:szCs w:val="22"/>
              </w:rPr>
              <w:t>施耐德、搏力谋、沃茨、艾西、欧文托普、丹弗思</w:t>
            </w:r>
          </w:p>
        </w:tc>
      </w:tr>
      <w:tr w14:paraId="6C1F09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1" w:type="dxa"/>
            <w:tcBorders>
              <w:top w:val="outset" w:color="auto" w:sz="6" w:space="0"/>
              <w:left w:val="outset" w:color="auto" w:sz="6" w:space="0"/>
              <w:right w:val="outset" w:color="auto" w:sz="6" w:space="0"/>
            </w:tcBorders>
            <w:noWrap w:val="0"/>
            <w:vAlign w:val="center"/>
          </w:tcPr>
          <w:p w14:paraId="0D613679">
            <w:pPr>
              <w:spacing w:line="240" w:lineRule="atLeast"/>
              <w:jc w:val="center"/>
              <w:rPr>
                <w:rFonts w:hint="eastAsia" w:ascii="宋体" w:hAnsi="宋体" w:cs="宋体"/>
                <w:sz w:val="22"/>
                <w:szCs w:val="22"/>
              </w:rPr>
            </w:pPr>
            <w:r>
              <w:rPr>
                <w:rFonts w:hint="eastAsia" w:ascii="宋体" w:hAnsi="宋体" w:cs="宋体"/>
                <w:sz w:val="22"/>
                <w:szCs w:val="22"/>
              </w:rPr>
              <w:t>8</w:t>
            </w:r>
          </w:p>
        </w:tc>
        <w:tc>
          <w:tcPr>
            <w:tcW w:w="2498" w:type="dxa"/>
            <w:tcBorders>
              <w:top w:val="outset" w:color="auto" w:sz="6" w:space="0"/>
              <w:left w:val="outset" w:color="auto" w:sz="6" w:space="0"/>
              <w:right w:val="outset" w:color="auto" w:sz="6" w:space="0"/>
            </w:tcBorders>
            <w:noWrap w:val="0"/>
            <w:vAlign w:val="center"/>
          </w:tcPr>
          <w:p w14:paraId="547465DE">
            <w:pPr>
              <w:spacing w:line="240" w:lineRule="atLeast"/>
              <w:jc w:val="center"/>
              <w:rPr>
                <w:rFonts w:hint="eastAsia" w:ascii="宋体" w:hAnsi="宋体" w:cs="宋体"/>
                <w:sz w:val="22"/>
                <w:szCs w:val="22"/>
              </w:rPr>
            </w:pPr>
            <w:r>
              <w:rPr>
                <w:rFonts w:hint="eastAsia" w:ascii="宋体" w:hAnsi="宋体" w:cs="宋体"/>
                <w:sz w:val="22"/>
                <w:szCs w:val="22"/>
              </w:rPr>
              <w:t>静（动）态平衡阀、动态平衡电动调节（二通）阀</w:t>
            </w:r>
          </w:p>
        </w:tc>
        <w:tc>
          <w:tcPr>
            <w:tcW w:w="5354" w:type="dxa"/>
            <w:tcBorders>
              <w:top w:val="outset" w:color="auto" w:sz="6" w:space="0"/>
              <w:left w:val="outset" w:color="auto" w:sz="6" w:space="0"/>
              <w:bottom w:val="outset" w:color="auto" w:sz="6" w:space="0"/>
              <w:right w:val="outset" w:color="auto" w:sz="6" w:space="0"/>
            </w:tcBorders>
            <w:noWrap w:val="0"/>
            <w:vAlign w:val="center"/>
          </w:tcPr>
          <w:p w14:paraId="104C2589">
            <w:pPr>
              <w:jc w:val="center"/>
              <w:rPr>
                <w:rFonts w:hint="eastAsia" w:ascii="宋体" w:hAnsi="宋体" w:cs="宋体"/>
                <w:sz w:val="22"/>
                <w:szCs w:val="22"/>
              </w:rPr>
            </w:pPr>
            <w:r>
              <w:rPr>
                <w:rFonts w:hint="eastAsia" w:ascii="宋体" w:hAnsi="宋体" w:cs="宋体"/>
                <w:sz w:val="22"/>
                <w:szCs w:val="22"/>
              </w:rPr>
              <w:t>施耐德、搏力谋、沃茨、艾西、欧文托普、丹弗思、TA</w:t>
            </w:r>
          </w:p>
        </w:tc>
      </w:tr>
      <w:tr w14:paraId="2F69FE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1" w:type="dxa"/>
            <w:tcBorders>
              <w:top w:val="outset" w:color="auto" w:sz="6" w:space="0"/>
              <w:left w:val="outset" w:color="auto" w:sz="6" w:space="0"/>
              <w:right w:val="outset" w:color="auto" w:sz="6" w:space="0"/>
            </w:tcBorders>
            <w:noWrap w:val="0"/>
            <w:vAlign w:val="center"/>
          </w:tcPr>
          <w:p w14:paraId="07DCDD28">
            <w:pPr>
              <w:spacing w:line="240" w:lineRule="atLeast"/>
              <w:jc w:val="center"/>
              <w:rPr>
                <w:rFonts w:hint="eastAsia" w:ascii="宋体" w:hAnsi="宋体" w:cs="宋体"/>
                <w:sz w:val="22"/>
                <w:szCs w:val="22"/>
              </w:rPr>
            </w:pPr>
            <w:r>
              <w:rPr>
                <w:rFonts w:hint="eastAsia" w:ascii="宋体" w:hAnsi="宋体" w:cs="宋体"/>
                <w:sz w:val="22"/>
                <w:szCs w:val="22"/>
              </w:rPr>
              <w:t>9</w:t>
            </w:r>
          </w:p>
        </w:tc>
        <w:tc>
          <w:tcPr>
            <w:tcW w:w="2498" w:type="dxa"/>
            <w:tcBorders>
              <w:top w:val="outset" w:color="auto" w:sz="6" w:space="0"/>
              <w:left w:val="outset" w:color="auto" w:sz="6" w:space="0"/>
              <w:right w:val="outset" w:color="auto" w:sz="6" w:space="0"/>
            </w:tcBorders>
            <w:noWrap w:val="0"/>
            <w:vAlign w:val="center"/>
          </w:tcPr>
          <w:p w14:paraId="37A9E738">
            <w:pPr>
              <w:spacing w:line="240" w:lineRule="atLeast"/>
              <w:jc w:val="center"/>
              <w:rPr>
                <w:rFonts w:hint="eastAsia" w:ascii="宋体" w:hAnsi="宋体" w:cs="宋体"/>
                <w:sz w:val="22"/>
                <w:szCs w:val="22"/>
              </w:rPr>
            </w:pPr>
            <w:r>
              <w:rPr>
                <w:rFonts w:hint="eastAsia" w:ascii="宋体" w:hAnsi="宋体" w:cs="宋体"/>
                <w:sz w:val="22"/>
                <w:szCs w:val="22"/>
              </w:rPr>
              <w:t>热回收装置（热回收式新风换气机）</w:t>
            </w:r>
          </w:p>
        </w:tc>
        <w:tc>
          <w:tcPr>
            <w:tcW w:w="5354" w:type="dxa"/>
            <w:tcBorders>
              <w:top w:val="outset" w:color="auto" w:sz="6" w:space="0"/>
              <w:left w:val="outset" w:color="auto" w:sz="6" w:space="0"/>
              <w:bottom w:val="outset" w:color="auto" w:sz="6" w:space="0"/>
              <w:right w:val="outset" w:color="auto" w:sz="6" w:space="0"/>
            </w:tcBorders>
            <w:noWrap w:val="0"/>
            <w:vAlign w:val="center"/>
          </w:tcPr>
          <w:p w14:paraId="465B231B">
            <w:pPr>
              <w:jc w:val="center"/>
              <w:rPr>
                <w:rFonts w:hint="eastAsia" w:ascii="宋体" w:hAnsi="宋体" w:cs="宋体"/>
                <w:sz w:val="22"/>
                <w:szCs w:val="22"/>
              </w:rPr>
            </w:pPr>
            <w:r>
              <w:rPr>
                <w:rFonts w:hint="eastAsia" w:ascii="宋体" w:hAnsi="宋体" w:cs="宋体"/>
                <w:sz w:val="22"/>
                <w:szCs w:val="22"/>
              </w:rPr>
              <w:t>特灵、爱科、麦克维尔、开利、约克</w:t>
            </w:r>
          </w:p>
        </w:tc>
      </w:tr>
      <w:tr w14:paraId="78F513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1" w:type="dxa"/>
            <w:tcBorders>
              <w:top w:val="outset" w:color="auto" w:sz="6" w:space="0"/>
              <w:left w:val="outset" w:color="auto" w:sz="6" w:space="0"/>
              <w:right w:val="outset" w:color="auto" w:sz="6" w:space="0"/>
            </w:tcBorders>
            <w:noWrap w:val="0"/>
            <w:vAlign w:val="center"/>
          </w:tcPr>
          <w:p w14:paraId="332E90C4">
            <w:pPr>
              <w:spacing w:line="240" w:lineRule="atLeast"/>
              <w:jc w:val="center"/>
              <w:rPr>
                <w:rFonts w:hint="eastAsia" w:ascii="宋体" w:hAnsi="宋体" w:cs="宋体"/>
                <w:sz w:val="22"/>
                <w:szCs w:val="22"/>
              </w:rPr>
            </w:pPr>
            <w:r>
              <w:rPr>
                <w:rFonts w:hint="eastAsia" w:ascii="宋体" w:hAnsi="宋体" w:cs="宋体"/>
                <w:sz w:val="22"/>
                <w:szCs w:val="22"/>
              </w:rPr>
              <w:t>10</w:t>
            </w:r>
          </w:p>
        </w:tc>
        <w:tc>
          <w:tcPr>
            <w:tcW w:w="2498" w:type="dxa"/>
            <w:tcBorders>
              <w:top w:val="outset" w:color="auto" w:sz="6" w:space="0"/>
              <w:left w:val="outset" w:color="auto" w:sz="6" w:space="0"/>
              <w:right w:val="outset" w:color="auto" w:sz="6" w:space="0"/>
            </w:tcBorders>
            <w:noWrap w:val="0"/>
            <w:vAlign w:val="center"/>
          </w:tcPr>
          <w:p w14:paraId="386DB729">
            <w:pPr>
              <w:spacing w:line="240" w:lineRule="atLeast"/>
              <w:jc w:val="center"/>
              <w:rPr>
                <w:rFonts w:hint="eastAsia" w:ascii="宋体" w:hAnsi="宋体" w:cs="宋体"/>
                <w:sz w:val="22"/>
                <w:szCs w:val="22"/>
              </w:rPr>
            </w:pPr>
            <w:r>
              <w:rPr>
                <w:rFonts w:hint="eastAsia" w:ascii="宋体" w:hAnsi="宋体" w:cs="宋体"/>
                <w:sz w:val="22"/>
                <w:szCs w:val="22"/>
              </w:rPr>
              <w:t>旋流风口、喷口</w:t>
            </w:r>
          </w:p>
        </w:tc>
        <w:tc>
          <w:tcPr>
            <w:tcW w:w="5354" w:type="dxa"/>
            <w:tcBorders>
              <w:top w:val="outset" w:color="auto" w:sz="6" w:space="0"/>
              <w:left w:val="outset" w:color="auto" w:sz="6" w:space="0"/>
              <w:bottom w:val="outset" w:color="auto" w:sz="6" w:space="0"/>
              <w:right w:val="outset" w:color="auto" w:sz="6" w:space="0"/>
            </w:tcBorders>
            <w:noWrap w:val="0"/>
            <w:vAlign w:val="center"/>
          </w:tcPr>
          <w:p w14:paraId="04E166D0">
            <w:pPr>
              <w:jc w:val="center"/>
              <w:rPr>
                <w:rFonts w:ascii="宋体" w:hAnsi="宋体" w:cs="宋体"/>
                <w:sz w:val="22"/>
                <w:szCs w:val="22"/>
              </w:rPr>
            </w:pPr>
            <w:r>
              <w:rPr>
                <w:rFonts w:hint="eastAsia" w:ascii="宋体" w:hAnsi="宋体" w:cs="宋体"/>
                <w:sz w:val="22"/>
                <w:szCs w:val="22"/>
              </w:rPr>
              <w:t>妥思、开思拓、中航大记</w:t>
            </w:r>
          </w:p>
        </w:tc>
      </w:tr>
      <w:tr w14:paraId="44B4AF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1" w:type="dxa"/>
            <w:tcBorders>
              <w:top w:val="outset" w:color="auto" w:sz="6" w:space="0"/>
              <w:left w:val="outset" w:color="auto" w:sz="6" w:space="0"/>
              <w:right w:val="outset" w:color="auto" w:sz="6" w:space="0"/>
            </w:tcBorders>
            <w:noWrap w:val="0"/>
            <w:vAlign w:val="center"/>
          </w:tcPr>
          <w:p w14:paraId="16DCDBDF">
            <w:pPr>
              <w:spacing w:line="240" w:lineRule="atLeast"/>
              <w:jc w:val="center"/>
              <w:rPr>
                <w:rFonts w:hint="eastAsia" w:ascii="宋体" w:hAnsi="宋体" w:cs="宋体"/>
                <w:sz w:val="22"/>
                <w:szCs w:val="22"/>
              </w:rPr>
            </w:pPr>
            <w:r>
              <w:rPr>
                <w:rFonts w:hint="eastAsia" w:ascii="宋体" w:hAnsi="宋体" w:cs="宋体"/>
                <w:sz w:val="22"/>
                <w:szCs w:val="22"/>
              </w:rPr>
              <w:t>11</w:t>
            </w:r>
          </w:p>
        </w:tc>
        <w:tc>
          <w:tcPr>
            <w:tcW w:w="2498" w:type="dxa"/>
            <w:tcBorders>
              <w:top w:val="outset" w:color="auto" w:sz="6" w:space="0"/>
              <w:left w:val="outset" w:color="auto" w:sz="6" w:space="0"/>
              <w:right w:val="outset" w:color="auto" w:sz="6" w:space="0"/>
            </w:tcBorders>
            <w:noWrap w:val="0"/>
            <w:vAlign w:val="center"/>
          </w:tcPr>
          <w:p w14:paraId="54F1FD2F">
            <w:pPr>
              <w:spacing w:line="240" w:lineRule="atLeast"/>
              <w:jc w:val="center"/>
              <w:rPr>
                <w:rFonts w:hint="eastAsia" w:ascii="宋体" w:hAnsi="宋体" w:cs="宋体"/>
                <w:sz w:val="22"/>
                <w:szCs w:val="22"/>
              </w:rPr>
            </w:pPr>
            <w:r>
              <w:rPr>
                <w:rFonts w:hint="eastAsia" w:ascii="宋体" w:hAnsi="宋体" w:cs="宋体"/>
                <w:sz w:val="22"/>
                <w:szCs w:val="22"/>
              </w:rPr>
              <w:t>成品支吊架（含抗震支架）</w:t>
            </w:r>
          </w:p>
        </w:tc>
        <w:tc>
          <w:tcPr>
            <w:tcW w:w="5354" w:type="dxa"/>
            <w:tcBorders>
              <w:top w:val="outset" w:color="auto" w:sz="6" w:space="0"/>
              <w:left w:val="outset" w:color="auto" w:sz="6" w:space="0"/>
              <w:bottom w:val="outset" w:color="auto" w:sz="6" w:space="0"/>
              <w:right w:val="outset" w:color="auto" w:sz="6" w:space="0"/>
            </w:tcBorders>
            <w:noWrap w:val="0"/>
            <w:vAlign w:val="center"/>
          </w:tcPr>
          <w:p w14:paraId="3F2E5A73">
            <w:pPr>
              <w:jc w:val="center"/>
              <w:rPr>
                <w:rFonts w:hint="eastAsia" w:ascii="宋体" w:hAnsi="宋体" w:cs="宋体"/>
                <w:sz w:val="22"/>
                <w:szCs w:val="22"/>
              </w:rPr>
            </w:pPr>
            <w:r>
              <w:rPr>
                <w:rFonts w:hint="eastAsia" w:ascii="宋体" w:hAnsi="宋体" w:cs="宋体"/>
                <w:sz w:val="22"/>
                <w:szCs w:val="22"/>
              </w:rPr>
              <w:t>新力紧（东莞工厂）、盛年科技（中山工厂）、瑞奇德（深圳工厂）、置华（中山工厂）、优力可（佛山工厂）、雅昌（鹤壁工厂）、邦达（广州工厂）</w:t>
            </w:r>
          </w:p>
        </w:tc>
      </w:tr>
      <w:tr w14:paraId="5224B2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81" w:type="dxa"/>
            <w:tcBorders>
              <w:top w:val="outset" w:color="auto" w:sz="6" w:space="0"/>
              <w:left w:val="outset" w:color="auto" w:sz="6" w:space="0"/>
              <w:right w:val="outset" w:color="auto" w:sz="6" w:space="0"/>
            </w:tcBorders>
            <w:noWrap w:val="0"/>
            <w:vAlign w:val="center"/>
          </w:tcPr>
          <w:p w14:paraId="42F6187D">
            <w:pPr>
              <w:spacing w:line="240" w:lineRule="atLeast"/>
              <w:jc w:val="center"/>
              <w:rPr>
                <w:rFonts w:hint="eastAsia" w:ascii="宋体" w:hAnsi="宋体" w:cs="宋体"/>
                <w:sz w:val="22"/>
                <w:szCs w:val="22"/>
              </w:rPr>
            </w:pPr>
            <w:r>
              <w:rPr>
                <w:rFonts w:hint="eastAsia" w:ascii="宋体" w:hAnsi="宋体" w:cs="宋体"/>
                <w:sz w:val="22"/>
                <w:szCs w:val="22"/>
              </w:rPr>
              <w:t>12</w:t>
            </w:r>
          </w:p>
        </w:tc>
        <w:tc>
          <w:tcPr>
            <w:tcW w:w="2498" w:type="dxa"/>
            <w:tcBorders>
              <w:top w:val="outset" w:color="auto" w:sz="6" w:space="0"/>
              <w:left w:val="outset" w:color="auto" w:sz="6" w:space="0"/>
              <w:right w:val="outset" w:color="auto" w:sz="6" w:space="0"/>
            </w:tcBorders>
            <w:noWrap w:val="0"/>
            <w:vAlign w:val="center"/>
          </w:tcPr>
          <w:p w14:paraId="2F2EFA4E">
            <w:pPr>
              <w:jc w:val="center"/>
              <w:rPr>
                <w:rFonts w:hint="eastAsia" w:ascii="宋体" w:hAnsi="宋体" w:cs="宋体"/>
                <w:sz w:val="22"/>
                <w:szCs w:val="22"/>
              </w:rPr>
            </w:pPr>
            <w:r>
              <w:rPr>
                <w:rFonts w:hint="eastAsia" w:ascii="宋体" w:hAnsi="宋体" w:cs="宋体"/>
                <w:sz w:val="22"/>
                <w:szCs w:val="22"/>
              </w:rPr>
              <w:t>铜管</w:t>
            </w:r>
          </w:p>
        </w:tc>
        <w:tc>
          <w:tcPr>
            <w:tcW w:w="5354" w:type="dxa"/>
            <w:tcBorders>
              <w:top w:val="outset" w:color="auto" w:sz="6" w:space="0"/>
              <w:left w:val="outset" w:color="auto" w:sz="6" w:space="0"/>
              <w:bottom w:val="outset" w:color="auto" w:sz="6" w:space="0"/>
              <w:right w:val="outset" w:color="auto" w:sz="6" w:space="0"/>
            </w:tcBorders>
            <w:noWrap w:val="0"/>
            <w:vAlign w:val="center"/>
          </w:tcPr>
          <w:p w14:paraId="414124D3">
            <w:pPr>
              <w:jc w:val="center"/>
              <w:rPr>
                <w:rFonts w:hint="eastAsia" w:ascii="宋体" w:hAnsi="宋体" w:cs="宋体"/>
                <w:sz w:val="22"/>
                <w:szCs w:val="22"/>
              </w:rPr>
            </w:pPr>
            <w:r>
              <w:rPr>
                <w:rFonts w:hint="eastAsia" w:ascii="宋体" w:hAnsi="宋体" w:cs="宋体"/>
                <w:sz w:val="22"/>
                <w:szCs w:val="22"/>
              </w:rPr>
              <w:t>宏泰、金阳、飞轮</w:t>
            </w:r>
          </w:p>
        </w:tc>
      </w:tr>
    </w:tbl>
    <w:p w14:paraId="42AEEBED">
      <w:pPr>
        <w:rPr>
          <w:b/>
          <w:sz w:val="24"/>
        </w:rPr>
      </w:pPr>
    </w:p>
    <w:p w14:paraId="6CA420F9">
      <w:pPr>
        <w:pStyle w:val="6"/>
      </w:pPr>
    </w:p>
    <w:p w14:paraId="2D176A48">
      <w:pPr>
        <w:pStyle w:val="2"/>
        <w:spacing w:before="120" w:beforeLines="50" w:after="120" w:afterLines="50"/>
        <w:rPr>
          <w:szCs w:val="24"/>
        </w:rPr>
      </w:pPr>
      <w:r>
        <w:rPr>
          <w:rFonts w:hint="eastAsia"/>
          <w:szCs w:val="24"/>
        </w:rPr>
        <w:t>六、商务要求</w:t>
      </w:r>
    </w:p>
    <w:tbl>
      <w:tblPr>
        <w:tblStyle w:val="9"/>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125"/>
        <w:gridCol w:w="6561"/>
      </w:tblGrid>
      <w:tr w14:paraId="5AC4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1" w:type="dxa"/>
            <w:shd w:val="clear" w:color="auto" w:fill="B8CCE4"/>
            <w:vAlign w:val="center"/>
          </w:tcPr>
          <w:p w14:paraId="6E0B21D9">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125" w:type="dxa"/>
            <w:shd w:val="clear" w:color="auto" w:fill="B8CCE4"/>
            <w:vAlign w:val="center"/>
          </w:tcPr>
          <w:p w14:paraId="1044A4BC">
            <w:pPr>
              <w:widowControl/>
              <w:jc w:val="center"/>
              <w:rPr>
                <w:rFonts w:ascii="宋体" w:hAnsi="宋体" w:cs="宋体"/>
                <w:b/>
                <w:bCs/>
                <w:kern w:val="0"/>
                <w:sz w:val="22"/>
                <w:szCs w:val="22"/>
              </w:rPr>
            </w:pPr>
            <w:r>
              <w:rPr>
                <w:rFonts w:hint="eastAsia" w:ascii="宋体" w:hAnsi="宋体" w:cs="宋体"/>
                <w:b/>
                <w:bCs/>
                <w:kern w:val="0"/>
                <w:sz w:val="22"/>
                <w:szCs w:val="22"/>
              </w:rPr>
              <w:t>目录</w:t>
            </w:r>
          </w:p>
        </w:tc>
        <w:tc>
          <w:tcPr>
            <w:tcW w:w="6561" w:type="dxa"/>
            <w:shd w:val="clear" w:color="auto" w:fill="B8CCE4"/>
            <w:vAlign w:val="center"/>
          </w:tcPr>
          <w:p w14:paraId="34867E13">
            <w:pPr>
              <w:widowControl/>
              <w:jc w:val="center"/>
              <w:rPr>
                <w:rFonts w:ascii="宋体" w:hAnsi="宋体" w:cs="宋体"/>
                <w:b/>
                <w:bCs/>
                <w:kern w:val="0"/>
                <w:sz w:val="22"/>
                <w:szCs w:val="22"/>
              </w:rPr>
            </w:pPr>
            <w:r>
              <w:rPr>
                <w:rFonts w:hint="eastAsia" w:ascii="宋体" w:hAnsi="宋体" w:cs="宋体"/>
                <w:b/>
                <w:bCs/>
                <w:kern w:val="0"/>
                <w:sz w:val="22"/>
                <w:szCs w:val="22"/>
              </w:rPr>
              <w:t>商务需求</w:t>
            </w:r>
          </w:p>
        </w:tc>
      </w:tr>
      <w:tr w14:paraId="766C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31" w:type="dxa"/>
            <w:vAlign w:val="center"/>
          </w:tcPr>
          <w:p w14:paraId="14C50E12">
            <w:pPr>
              <w:widowControl/>
              <w:jc w:val="center"/>
              <w:rPr>
                <w:rFonts w:ascii="宋体" w:hAnsi="宋体" w:cs="宋体"/>
                <w:kern w:val="0"/>
                <w:sz w:val="22"/>
                <w:szCs w:val="22"/>
              </w:rPr>
            </w:pPr>
            <w:r>
              <w:rPr>
                <w:rFonts w:hint="eastAsia" w:ascii="宋体" w:hAnsi="宋体" w:cs="宋体"/>
                <w:kern w:val="0"/>
                <w:sz w:val="22"/>
                <w:szCs w:val="22"/>
              </w:rPr>
              <w:t>1</w:t>
            </w:r>
          </w:p>
        </w:tc>
        <w:tc>
          <w:tcPr>
            <w:tcW w:w="1125" w:type="dxa"/>
            <w:vAlign w:val="center"/>
          </w:tcPr>
          <w:p w14:paraId="400CBADB">
            <w:pPr>
              <w:widowControl/>
              <w:rPr>
                <w:rFonts w:ascii="宋体" w:hAnsi="宋体" w:cs="宋体"/>
                <w:kern w:val="0"/>
                <w:sz w:val="22"/>
                <w:szCs w:val="22"/>
              </w:rPr>
            </w:pPr>
            <w:r>
              <w:rPr>
                <w:rFonts w:hint="eastAsia" w:ascii="宋体" w:hAnsi="宋体" w:cs="宋体"/>
                <w:b/>
                <w:bCs/>
                <w:kern w:val="0"/>
                <w:sz w:val="22"/>
                <w:szCs w:val="22"/>
              </w:rPr>
              <w:t>服务期限</w:t>
            </w:r>
          </w:p>
        </w:tc>
        <w:tc>
          <w:tcPr>
            <w:tcW w:w="6561" w:type="dxa"/>
            <w:vAlign w:val="center"/>
          </w:tcPr>
          <w:p w14:paraId="78113905">
            <w:pPr>
              <w:jc w:val="left"/>
              <w:rPr>
                <w:rFonts w:hint="eastAsia" w:ascii="宋体" w:hAnsi="宋体" w:cs="宋体"/>
                <w:b/>
                <w:bCs/>
                <w:kern w:val="0"/>
                <w:sz w:val="22"/>
                <w:szCs w:val="22"/>
              </w:rPr>
            </w:pPr>
            <w:r>
              <w:rPr>
                <w:rFonts w:hint="eastAsia" w:ascii="宋体" w:hAnsi="宋体" w:cs="宋体"/>
                <w:b/>
                <w:szCs w:val="21"/>
              </w:rPr>
              <w:t>★</w:t>
            </w:r>
            <w:r>
              <w:rPr>
                <w:rFonts w:hint="eastAsia" w:ascii="宋体" w:hAnsi="宋体" w:cs="宋体"/>
                <w:b/>
                <w:bCs/>
                <w:kern w:val="0"/>
                <w:sz w:val="22"/>
                <w:szCs w:val="22"/>
              </w:rPr>
              <w:t>自合同签订之日起一年。合同一年一签。本项目为长期服务类项目，第一年为本次招标的中标服务期限，采购单位可根据项目需要和中标供应商的履约情况确定合同期限是否延长，但最长不超过三十六个月。若政府采购主管部门发现项目有异常情况，以主管部门意见为准。</w:t>
            </w:r>
          </w:p>
          <w:p w14:paraId="6B82BDBC">
            <w:pPr>
              <w:jc w:val="left"/>
              <w:rPr>
                <w:rFonts w:hint="eastAsia" w:ascii="宋体" w:hAnsi="宋体" w:cs="宋体"/>
                <w:b/>
                <w:bCs/>
                <w:kern w:val="0"/>
                <w:sz w:val="22"/>
                <w:szCs w:val="22"/>
              </w:rPr>
            </w:pPr>
            <w:r>
              <w:rPr>
                <w:rFonts w:hint="eastAsia" w:ascii="宋体" w:hAnsi="宋体" w:cs="宋体"/>
                <w:b/>
                <w:bCs/>
                <w:kern w:val="0"/>
                <w:sz w:val="22"/>
                <w:szCs w:val="22"/>
              </w:rPr>
              <w:t>（1）若服务期限未到，付款综合金额达到¥1</w:t>
            </w:r>
            <w:r>
              <w:rPr>
                <w:rFonts w:hint="eastAsia" w:ascii="宋体" w:hAnsi="宋体" w:cs="宋体"/>
                <w:b/>
                <w:bCs/>
                <w:kern w:val="0"/>
                <w:sz w:val="22"/>
                <w:szCs w:val="22"/>
                <w:lang w:val="en-US" w:eastAsia="zh-CN"/>
              </w:rPr>
              <w:t>7</w:t>
            </w:r>
            <w:r>
              <w:rPr>
                <w:rFonts w:hint="eastAsia" w:ascii="宋体" w:hAnsi="宋体" w:cs="宋体"/>
                <w:b/>
                <w:bCs/>
                <w:kern w:val="0"/>
                <w:sz w:val="22"/>
                <w:szCs w:val="22"/>
              </w:rPr>
              <w:t>00,000.00时或项目结余款不足以开展新子项目且采购人未书面通知中标人自动续约事宜，合同提前终止。</w:t>
            </w:r>
          </w:p>
          <w:p w14:paraId="4278CF2E">
            <w:pPr>
              <w:jc w:val="left"/>
              <w:rPr>
                <w:rFonts w:hint="eastAsia" w:ascii="宋体" w:hAnsi="宋体" w:cs="宋体"/>
                <w:b/>
                <w:bCs/>
                <w:kern w:val="0"/>
                <w:sz w:val="22"/>
                <w:szCs w:val="22"/>
              </w:rPr>
            </w:pPr>
            <w:r>
              <w:rPr>
                <w:rFonts w:hint="eastAsia" w:ascii="宋体" w:hAnsi="宋体" w:cs="宋体"/>
                <w:b/>
                <w:bCs/>
                <w:kern w:val="0"/>
                <w:sz w:val="22"/>
                <w:szCs w:val="22"/>
              </w:rPr>
              <w:t>（2）若到了服务期限，且付款总金额还未达到¥1</w:t>
            </w:r>
            <w:r>
              <w:rPr>
                <w:rFonts w:hint="eastAsia" w:ascii="宋体" w:hAnsi="宋体" w:cs="宋体"/>
                <w:b/>
                <w:bCs/>
                <w:kern w:val="0"/>
                <w:sz w:val="22"/>
                <w:szCs w:val="22"/>
                <w:lang w:val="en-US" w:eastAsia="zh-CN"/>
              </w:rPr>
              <w:t>7</w:t>
            </w:r>
            <w:r>
              <w:rPr>
                <w:rFonts w:hint="eastAsia" w:ascii="宋体" w:hAnsi="宋体" w:cs="宋体"/>
                <w:b/>
                <w:bCs/>
                <w:kern w:val="0"/>
                <w:sz w:val="22"/>
                <w:szCs w:val="22"/>
              </w:rPr>
              <w:t>00,000.00时且采购人未书面通知中标人自动续约事宜，合同按时终止。</w:t>
            </w:r>
          </w:p>
          <w:p w14:paraId="25850407">
            <w:pPr>
              <w:jc w:val="left"/>
              <w:rPr>
                <w:rFonts w:ascii="宋体" w:hAnsi="宋体" w:cs="宋体"/>
                <w:kern w:val="0"/>
                <w:sz w:val="22"/>
                <w:szCs w:val="22"/>
              </w:rPr>
            </w:pPr>
            <w:r>
              <w:rPr>
                <w:rFonts w:hint="eastAsia" w:ascii="宋体" w:hAnsi="宋体" w:cs="宋体"/>
                <w:b/>
                <w:bCs/>
                <w:kern w:val="0"/>
                <w:sz w:val="22"/>
                <w:szCs w:val="22"/>
              </w:rPr>
              <w:t>（3）因单项工程项目进度导致超出服务合同期限的，单项工程项目服务继续有效，有限期直至完成单项工程项目服务约定的服务内容并经采购人验收合格之日为止。</w:t>
            </w:r>
          </w:p>
        </w:tc>
      </w:tr>
      <w:tr w14:paraId="6809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31" w:type="dxa"/>
            <w:vAlign w:val="center"/>
          </w:tcPr>
          <w:p w14:paraId="3A806E71">
            <w:pPr>
              <w:widowControl/>
              <w:jc w:val="center"/>
              <w:rPr>
                <w:rFonts w:ascii="宋体" w:hAnsi="宋体" w:cs="宋体"/>
                <w:kern w:val="0"/>
                <w:sz w:val="22"/>
                <w:szCs w:val="22"/>
              </w:rPr>
            </w:pPr>
            <w:r>
              <w:rPr>
                <w:rFonts w:hint="eastAsia" w:ascii="宋体" w:hAnsi="宋体" w:cs="宋体"/>
                <w:kern w:val="0"/>
                <w:sz w:val="22"/>
                <w:szCs w:val="22"/>
              </w:rPr>
              <w:t>2</w:t>
            </w:r>
          </w:p>
        </w:tc>
        <w:tc>
          <w:tcPr>
            <w:tcW w:w="1125" w:type="dxa"/>
            <w:vAlign w:val="center"/>
          </w:tcPr>
          <w:p w14:paraId="57422AAC">
            <w:pPr>
              <w:widowControl/>
              <w:jc w:val="center"/>
              <w:rPr>
                <w:rFonts w:ascii="宋体" w:hAnsi="宋体" w:cs="宋体"/>
                <w:kern w:val="0"/>
                <w:sz w:val="22"/>
                <w:szCs w:val="22"/>
              </w:rPr>
            </w:pPr>
            <w:r>
              <w:rPr>
                <w:rFonts w:hint="eastAsia" w:ascii="宋体" w:hAnsi="宋体" w:cs="宋体"/>
                <w:b/>
                <w:bCs/>
                <w:kern w:val="0"/>
                <w:sz w:val="22"/>
                <w:szCs w:val="22"/>
              </w:rPr>
              <w:t>服务地点</w:t>
            </w:r>
          </w:p>
        </w:tc>
        <w:tc>
          <w:tcPr>
            <w:tcW w:w="6561" w:type="dxa"/>
          </w:tcPr>
          <w:p w14:paraId="6081F814">
            <w:pPr>
              <w:widowControl/>
              <w:rPr>
                <w:rFonts w:ascii="宋体" w:hAnsi="宋体" w:cs="宋体"/>
                <w:kern w:val="0"/>
                <w:sz w:val="22"/>
                <w:szCs w:val="22"/>
              </w:rPr>
            </w:pPr>
            <w:r>
              <w:rPr>
                <w:rFonts w:hint="eastAsia" w:ascii="宋体" w:hAnsi="宋体" w:cs="宋体"/>
                <w:kern w:val="0"/>
                <w:sz w:val="22"/>
                <w:szCs w:val="22"/>
              </w:rPr>
              <w:t>深圳大学总医院指定地点。</w:t>
            </w:r>
          </w:p>
        </w:tc>
      </w:tr>
      <w:tr w14:paraId="1145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31" w:type="dxa"/>
            <w:vAlign w:val="center"/>
          </w:tcPr>
          <w:p w14:paraId="0555FCDD">
            <w:pPr>
              <w:widowControl/>
              <w:jc w:val="center"/>
              <w:rPr>
                <w:rFonts w:ascii="宋体" w:hAnsi="宋体" w:cs="宋体"/>
                <w:kern w:val="0"/>
                <w:sz w:val="22"/>
                <w:szCs w:val="22"/>
              </w:rPr>
            </w:pPr>
            <w:r>
              <w:rPr>
                <w:rFonts w:hint="eastAsia" w:ascii="宋体" w:hAnsi="宋体" w:cs="宋体"/>
                <w:kern w:val="0"/>
                <w:sz w:val="22"/>
                <w:szCs w:val="22"/>
              </w:rPr>
              <w:t>3</w:t>
            </w:r>
          </w:p>
        </w:tc>
        <w:tc>
          <w:tcPr>
            <w:tcW w:w="1125" w:type="dxa"/>
            <w:vAlign w:val="center"/>
          </w:tcPr>
          <w:p w14:paraId="69C44CFA">
            <w:pPr>
              <w:widowControl/>
              <w:jc w:val="center"/>
              <w:rPr>
                <w:rFonts w:ascii="宋体" w:hAnsi="宋体" w:cs="宋体"/>
                <w:b/>
                <w:bCs/>
                <w:sz w:val="22"/>
                <w:szCs w:val="22"/>
              </w:rPr>
            </w:pPr>
            <w:r>
              <w:rPr>
                <w:rFonts w:hint="eastAsia" w:ascii="宋体" w:hAnsi="宋体" w:cs="宋体"/>
                <w:b/>
                <w:bCs/>
                <w:sz w:val="22"/>
                <w:szCs w:val="22"/>
              </w:rPr>
              <w:t>投标报价要求</w:t>
            </w:r>
          </w:p>
        </w:tc>
        <w:tc>
          <w:tcPr>
            <w:tcW w:w="6561" w:type="dxa"/>
          </w:tcPr>
          <w:p w14:paraId="33C9CAFB">
            <w:pPr>
              <w:widowControl/>
              <w:rPr>
                <w:rFonts w:hint="eastAsia" w:ascii="宋体" w:hAnsi="宋体" w:cs="宋体"/>
                <w:sz w:val="22"/>
                <w:szCs w:val="22"/>
              </w:rPr>
            </w:pPr>
            <w:r>
              <w:rPr>
                <w:rFonts w:hint="eastAsia" w:ascii="宋体" w:hAnsi="宋体" w:cs="宋体"/>
                <w:sz w:val="22"/>
                <w:szCs w:val="22"/>
              </w:rPr>
              <w:t>1.本项目投标价格为折扣率报价，投标人根据市场情况并结合企业自身因素、结合本采购需求中的内容自行填报统一报出工程竣工结算价的折扣率。结算以审定价为准，按照最终审核价乘以投标折扣率进行费用结算。（结算由医院审计/委托的第三方造价咨询公司依据现行定额、工程量清单计价规范、深圳市建设工程造价管理站发布的《深圳建设工程信息价》、对应材料规格品牌市场询价进行组价，工程量依据现场实际情况按实计取，乘以</w:t>
            </w:r>
            <w:r>
              <w:rPr>
                <w:rFonts w:hint="eastAsia" w:ascii="宋体" w:hAnsi="宋体" w:cs="宋体"/>
                <w:sz w:val="22"/>
                <w:szCs w:val="22"/>
                <w:lang w:val="en-US" w:eastAsia="zh-CN"/>
              </w:rPr>
              <w:t>中标</w:t>
            </w:r>
            <w:r>
              <w:rPr>
                <w:rFonts w:hint="eastAsia" w:ascii="宋体" w:hAnsi="宋体" w:cs="宋体"/>
                <w:sz w:val="22"/>
                <w:szCs w:val="22"/>
              </w:rPr>
              <w:t>折扣率），一经中标，将以其</w:t>
            </w:r>
            <w:r>
              <w:rPr>
                <w:rFonts w:hint="eastAsia" w:ascii="宋体" w:hAnsi="宋体" w:cs="宋体"/>
                <w:sz w:val="22"/>
                <w:szCs w:val="22"/>
                <w:lang w:val="en-US" w:eastAsia="zh-CN"/>
              </w:rPr>
              <w:t>中标</w:t>
            </w:r>
            <w:r>
              <w:rPr>
                <w:rFonts w:hint="eastAsia" w:ascii="宋体" w:hAnsi="宋体" w:cs="宋体"/>
                <w:sz w:val="22"/>
                <w:szCs w:val="22"/>
              </w:rPr>
              <w:t>折扣率作为计算合同价根据且合同期限内不作调整。</w:t>
            </w:r>
          </w:p>
          <w:p w14:paraId="540DD973">
            <w:pPr>
              <w:widowControl/>
              <w:rPr>
                <w:rFonts w:hint="eastAsia" w:ascii="宋体" w:hAnsi="宋体" w:cs="宋体"/>
                <w:sz w:val="22"/>
                <w:szCs w:val="22"/>
              </w:rPr>
            </w:pPr>
            <w:r>
              <w:rPr>
                <w:rFonts w:hint="eastAsia" w:ascii="宋体" w:hAnsi="宋体" w:cs="宋体"/>
                <w:sz w:val="22"/>
                <w:szCs w:val="22"/>
              </w:rPr>
              <w:t>2.折扣率填写要求：0＜报价折扣率≤1</w:t>
            </w:r>
            <w:r>
              <w:rPr>
                <w:rFonts w:hint="eastAsia"/>
              </w:rPr>
              <w:t>（最多保留小数点后两位）</w:t>
            </w:r>
            <w:r>
              <w:rPr>
                <w:rFonts w:hint="eastAsia" w:ascii="宋体" w:hAnsi="宋体"/>
              </w:rPr>
              <w:t>，未按此要求填写将作废标处理,与系统填写的应当一致</w:t>
            </w:r>
            <w:r>
              <w:rPr>
                <w:rFonts w:hint="eastAsia" w:ascii="宋体" w:hAnsi="宋体"/>
                <w:lang w:eastAsia="zh-CN"/>
              </w:rPr>
              <w:t>。</w:t>
            </w:r>
            <w:r>
              <w:rPr>
                <w:rFonts w:hint="eastAsia"/>
              </w:rPr>
              <w:t>比如投标人报 9 折，则《分项报价表》中的“折扣率”填写“0.90”</w:t>
            </w:r>
            <w:r>
              <w:rPr>
                <w:rFonts w:hint="eastAsia" w:ascii="宋体" w:hAnsi="宋体" w:cs="宋体"/>
                <w:sz w:val="22"/>
                <w:szCs w:val="22"/>
              </w:rPr>
              <w:t>。</w:t>
            </w:r>
          </w:p>
          <w:p w14:paraId="4DB726DE">
            <w:pPr>
              <w:widowControl/>
              <w:rPr>
                <w:rFonts w:hint="eastAsia" w:ascii="宋体" w:hAnsi="宋体" w:cs="宋体"/>
                <w:sz w:val="22"/>
                <w:szCs w:val="22"/>
              </w:rPr>
            </w:pPr>
            <w:r>
              <w:rPr>
                <w:rFonts w:hint="eastAsia" w:ascii="宋体" w:hAnsi="宋体" w:cs="宋体"/>
                <w:sz w:val="22"/>
                <w:szCs w:val="22"/>
              </w:rPr>
              <w:t>3.填写的折扣率应为小数；如0.95、0.8、0.78；最多保留小数点后两位。</w:t>
            </w:r>
          </w:p>
          <w:p w14:paraId="13420674">
            <w:pPr>
              <w:widowControl/>
              <w:rPr>
                <w:rFonts w:hint="eastAsia" w:ascii="宋体" w:hAnsi="宋体" w:cs="宋体"/>
                <w:sz w:val="22"/>
                <w:szCs w:val="22"/>
              </w:rPr>
            </w:pPr>
            <w:r>
              <w:rPr>
                <w:rFonts w:hint="eastAsia" w:ascii="宋体" w:hAnsi="宋体" w:cs="宋体"/>
                <w:sz w:val="22"/>
                <w:szCs w:val="22"/>
                <w:lang w:val="en-US" w:eastAsia="zh-CN"/>
              </w:rPr>
              <w:t>4</w:t>
            </w:r>
            <w:r>
              <w:rPr>
                <w:rFonts w:hint="eastAsia" w:ascii="宋体" w:hAnsi="宋体" w:cs="宋体"/>
                <w:sz w:val="22"/>
                <w:szCs w:val="22"/>
              </w:rPr>
              <w:t>.投标人参与投标只允许填报唯一1个折扣率，不允许填报2个（或以上）的折扣率；填报了2个或以上折扣率的，其投标将直接作废标处理；</w:t>
            </w:r>
          </w:p>
          <w:p w14:paraId="086088C0">
            <w:pPr>
              <w:widowControl/>
              <w:rPr>
                <w:rFonts w:ascii="宋体" w:hAnsi="宋体" w:cs="宋体"/>
                <w:bCs/>
                <w:sz w:val="22"/>
                <w:szCs w:val="22"/>
              </w:rPr>
            </w:pPr>
            <w:r>
              <w:rPr>
                <w:rFonts w:hint="eastAsia" w:ascii="宋体" w:hAnsi="宋体" w:cs="宋体"/>
                <w:sz w:val="22"/>
                <w:szCs w:val="22"/>
                <w:lang w:val="en-US" w:eastAsia="zh-CN"/>
              </w:rPr>
              <w:t>5</w:t>
            </w:r>
            <w:r>
              <w:rPr>
                <w:rFonts w:hint="eastAsia" w:ascii="宋体" w:hAnsi="宋体" w:cs="宋体"/>
                <w:sz w:val="22"/>
                <w:szCs w:val="22"/>
              </w:rPr>
              <w:t>.折扣率缺填、漏填将直接作废标处理。</w:t>
            </w:r>
          </w:p>
        </w:tc>
      </w:tr>
      <w:tr w14:paraId="66DD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31" w:type="dxa"/>
            <w:vAlign w:val="center"/>
          </w:tcPr>
          <w:p w14:paraId="707C037B">
            <w:pPr>
              <w:widowControl/>
              <w:jc w:val="center"/>
              <w:rPr>
                <w:rFonts w:ascii="宋体" w:hAnsi="宋体" w:cs="宋体"/>
                <w:kern w:val="0"/>
                <w:sz w:val="22"/>
                <w:szCs w:val="22"/>
              </w:rPr>
            </w:pPr>
            <w:r>
              <w:rPr>
                <w:rFonts w:hint="eastAsia" w:ascii="宋体" w:hAnsi="宋体" w:cs="宋体"/>
                <w:kern w:val="0"/>
                <w:sz w:val="22"/>
                <w:szCs w:val="22"/>
              </w:rPr>
              <w:t>4</w:t>
            </w:r>
          </w:p>
        </w:tc>
        <w:tc>
          <w:tcPr>
            <w:tcW w:w="1125" w:type="dxa"/>
            <w:vAlign w:val="center"/>
          </w:tcPr>
          <w:p w14:paraId="323FA0A8">
            <w:pPr>
              <w:widowControl/>
              <w:jc w:val="center"/>
              <w:rPr>
                <w:rFonts w:ascii="宋体" w:hAnsi="宋体" w:cs="宋体"/>
                <w:b/>
                <w:sz w:val="22"/>
              </w:rPr>
            </w:pPr>
            <w:r>
              <w:rPr>
                <w:rFonts w:hint="eastAsia" w:ascii="宋体" w:hAnsi="宋体" w:cs="宋体"/>
                <w:b/>
                <w:sz w:val="22"/>
              </w:rPr>
              <w:t>付款方式</w:t>
            </w:r>
          </w:p>
        </w:tc>
        <w:tc>
          <w:tcPr>
            <w:tcW w:w="6561" w:type="dxa"/>
          </w:tcPr>
          <w:p w14:paraId="308EA485">
            <w:pPr>
              <w:widowControl/>
              <w:rPr>
                <w:rFonts w:hint="eastAsia" w:ascii="宋体" w:hAnsi="宋体" w:cs="宋体"/>
                <w:sz w:val="22"/>
                <w:szCs w:val="22"/>
              </w:rPr>
            </w:pPr>
            <w:r>
              <w:rPr>
                <w:rFonts w:hint="eastAsia" w:ascii="宋体" w:hAnsi="宋体" w:cs="宋体"/>
                <w:b/>
                <w:szCs w:val="21"/>
              </w:rPr>
              <w:t>★</w:t>
            </w:r>
            <w:r>
              <w:rPr>
                <w:rFonts w:hint="eastAsia" w:ascii="宋体" w:hAnsi="宋体" w:cs="宋体"/>
                <w:sz w:val="22"/>
                <w:szCs w:val="22"/>
              </w:rPr>
              <w:t xml:space="preserve">1.工程预付款和进度款：本工程不设工程预付款和进度款。 </w:t>
            </w:r>
          </w:p>
          <w:p w14:paraId="502D54F3">
            <w:pPr>
              <w:widowControl/>
              <w:rPr>
                <w:rFonts w:hint="eastAsia" w:ascii="宋体" w:hAnsi="宋体" w:cs="宋体"/>
                <w:sz w:val="22"/>
                <w:szCs w:val="22"/>
              </w:rPr>
            </w:pPr>
            <w:r>
              <w:rPr>
                <w:rFonts w:hint="eastAsia" w:ascii="宋体" w:hAnsi="宋体" w:cs="宋体"/>
                <w:b/>
                <w:szCs w:val="21"/>
              </w:rPr>
              <w:t>★</w:t>
            </w:r>
            <w:r>
              <w:rPr>
                <w:rFonts w:hint="eastAsia" w:ascii="宋体" w:hAnsi="宋体" w:cs="宋体"/>
                <w:sz w:val="22"/>
                <w:szCs w:val="22"/>
              </w:rPr>
              <w:t xml:space="preserve">2.工程结算款： </w:t>
            </w:r>
          </w:p>
          <w:p w14:paraId="2D986420">
            <w:pPr>
              <w:widowControl/>
              <w:rPr>
                <w:rFonts w:hint="eastAsia" w:ascii="宋体" w:hAnsi="宋体" w:cs="宋体"/>
                <w:sz w:val="22"/>
                <w:szCs w:val="22"/>
              </w:rPr>
            </w:pPr>
            <w:r>
              <w:rPr>
                <w:rFonts w:hint="eastAsia" w:ascii="宋体" w:hAnsi="宋体" w:cs="宋体"/>
                <w:sz w:val="22"/>
                <w:szCs w:val="22"/>
              </w:rPr>
              <w:t>（1）单项工程竣工验收合格的，施工单位按季度汇总提交结算资料。结算资料包含但不限于：结算书、主要材料品牌型号确认表、工程量计算书（如有）、 竣工图纸（如有）、项目立项表、竣工验收单等；施工单位未在合同约定时间内递交竣工结算书， 经采购人书面催促后 7 个日历日内仍未提供或没有明确答复的，采购人可以根据已有的资料办理结算。施工单位在接到采购人提出的核对意见后，在 15 天内不确认也未提出异议，视为对采购人提出的核对意见已经认可。</w:t>
            </w:r>
          </w:p>
          <w:p w14:paraId="1CC88CF1">
            <w:pPr>
              <w:widowControl/>
              <w:rPr>
                <w:rFonts w:hint="eastAsia" w:ascii="宋体" w:hAnsi="宋体" w:cs="宋体"/>
                <w:sz w:val="22"/>
                <w:szCs w:val="22"/>
              </w:rPr>
            </w:pPr>
            <w:r>
              <w:rPr>
                <w:rFonts w:hint="eastAsia" w:ascii="宋体" w:hAnsi="宋体" w:cs="宋体"/>
                <w:sz w:val="22"/>
                <w:szCs w:val="22"/>
              </w:rPr>
              <w:t>（2）每季度采购人按照正式出具审计意见的工程结算书进行结算，未出具审计意见的工程结算书顺延至下一季度结算。审计完毕双方签字确认，每季度最终付款金额为医院审计/第三方咨询机构出具的最终审计金额，施工单位根据每季度最终付款金额提供合法发票，采购人在收到发票后完成支付手续。</w:t>
            </w:r>
          </w:p>
          <w:p w14:paraId="5679984B">
            <w:pPr>
              <w:widowControl/>
              <w:rPr>
                <w:rFonts w:hint="eastAsia" w:ascii="宋体" w:hAnsi="宋体" w:cs="宋体"/>
                <w:sz w:val="22"/>
                <w:szCs w:val="22"/>
              </w:rPr>
            </w:pPr>
            <w:r>
              <w:rPr>
                <w:rFonts w:hint="eastAsia" w:ascii="宋体" w:hAnsi="宋体" w:cs="宋体"/>
                <w:sz w:val="22"/>
                <w:szCs w:val="22"/>
              </w:rPr>
              <w:t>（3）因施工单位结算资料不真实、不完整等原因导致不能按时完成结算审核和审计，则审核和审计时间顺延。</w:t>
            </w:r>
          </w:p>
          <w:p w14:paraId="29A74C5B">
            <w:pPr>
              <w:widowControl/>
              <w:rPr>
                <w:rFonts w:hint="eastAsia" w:ascii="宋体" w:hAnsi="宋体" w:cs="宋体"/>
                <w:sz w:val="22"/>
                <w:szCs w:val="22"/>
              </w:rPr>
            </w:pPr>
            <w:r>
              <w:rPr>
                <w:rFonts w:hint="eastAsia" w:ascii="宋体" w:hAnsi="宋体" w:cs="宋体"/>
                <w:sz w:val="22"/>
                <w:szCs w:val="22"/>
              </w:rPr>
              <w:t>（4）采购人完成竣工、移交、结算资料审核后，施工单位向采购人提交发票、付款申请等报账资料，采购人审核无误并向施工单位支付工程款。</w:t>
            </w:r>
          </w:p>
          <w:p w14:paraId="4F93C369">
            <w:pPr>
              <w:widowControl/>
              <w:rPr>
                <w:rFonts w:ascii="宋体" w:hAnsi="宋体" w:cs="宋体"/>
                <w:sz w:val="22"/>
                <w:szCs w:val="22"/>
              </w:rPr>
            </w:pPr>
            <w:r>
              <w:rPr>
                <w:rFonts w:hint="eastAsia" w:ascii="宋体" w:hAnsi="宋体" w:cs="宋体"/>
                <w:b/>
                <w:szCs w:val="21"/>
              </w:rPr>
              <w:t>★</w:t>
            </w:r>
            <w:r>
              <w:rPr>
                <w:rFonts w:hint="eastAsia" w:ascii="宋体" w:hAnsi="宋体" w:cs="宋体"/>
                <w:sz w:val="22"/>
                <w:szCs w:val="22"/>
              </w:rPr>
              <w:t>3.本项目免收履约保证金。需在合同签订后向采购人提供</w:t>
            </w:r>
            <w:r>
              <w:rPr>
                <w:rFonts w:hint="eastAsia" w:ascii="宋体" w:hAnsi="宋体" w:cs="宋体"/>
                <w:sz w:val="22"/>
                <w:szCs w:val="22"/>
                <w:lang w:val="en-US" w:eastAsia="zh-CN"/>
              </w:rPr>
              <w:t>履约</w:t>
            </w:r>
            <w:r>
              <w:rPr>
                <w:rFonts w:hint="eastAsia" w:ascii="宋体" w:hAnsi="宋体" w:cs="宋体"/>
                <w:sz w:val="22"/>
                <w:szCs w:val="22"/>
              </w:rPr>
              <w:t>保证金3万元，合同到期后无息退还。</w:t>
            </w:r>
          </w:p>
        </w:tc>
      </w:tr>
      <w:tr w14:paraId="37BD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31" w:type="dxa"/>
            <w:vAlign w:val="center"/>
          </w:tcPr>
          <w:p w14:paraId="438665E8">
            <w:pPr>
              <w:widowControl/>
              <w:jc w:val="center"/>
              <w:rPr>
                <w:rFonts w:ascii="宋体" w:hAnsi="宋体" w:cs="宋体"/>
                <w:kern w:val="0"/>
                <w:sz w:val="22"/>
                <w:szCs w:val="22"/>
              </w:rPr>
            </w:pPr>
            <w:r>
              <w:rPr>
                <w:rFonts w:hint="eastAsia" w:ascii="宋体" w:hAnsi="宋体" w:cs="宋体"/>
                <w:kern w:val="0"/>
                <w:sz w:val="22"/>
                <w:szCs w:val="22"/>
              </w:rPr>
              <w:t>5</w:t>
            </w:r>
          </w:p>
        </w:tc>
        <w:tc>
          <w:tcPr>
            <w:tcW w:w="1125" w:type="dxa"/>
            <w:vAlign w:val="center"/>
          </w:tcPr>
          <w:p w14:paraId="5E758FCF">
            <w:pPr>
              <w:widowControl/>
              <w:jc w:val="center"/>
              <w:rPr>
                <w:rFonts w:ascii="宋体" w:hAnsi="宋体" w:cs="宋体"/>
                <w:b/>
                <w:sz w:val="22"/>
              </w:rPr>
            </w:pPr>
            <w:r>
              <w:rPr>
                <w:rFonts w:hint="eastAsia" w:ascii="宋体" w:hAnsi="宋体" w:cs="宋体"/>
                <w:b/>
                <w:sz w:val="22"/>
              </w:rPr>
              <w:t>结算方式</w:t>
            </w:r>
          </w:p>
        </w:tc>
        <w:tc>
          <w:tcPr>
            <w:tcW w:w="6561" w:type="dxa"/>
          </w:tcPr>
          <w:p w14:paraId="751C299A">
            <w:pPr>
              <w:widowControl/>
              <w:rPr>
                <w:rFonts w:hint="eastAsia" w:ascii="宋体" w:hAnsi="宋体" w:cs="宋体"/>
                <w:sz w:val="22"/>
                <w:szCs w:val="22"/>
              </w:rPr>
            </w:pPr>
            <w:r>
              <w:rPr>
                <w:rFonts w:hint="eastAsia" w:ascii="宋体" w:hAnsi="宋体" w:cs="宋体"/>
                <w:sz w:val="22"/>
                <w:szCs w:val="22"/>
              </w:rPr>
              <w:t>1.工程结算原则：</w:t>
            </w:r>
          </w:p>
          <w:p w14:paraId="01FFD79D">
            <w:pPr>
              <w:widowControl/>
              <w:rPr>
                <w:rFonts w:hint="eastAsia" w:ascii="宋体" w:hAnsi="宋体" w:cs="宋体"/>
                <w:sz w:val="22"/>
                <w:szCs w:val="22"/>
              </w:rPr>
            </w:pPr>
            <w:r>
              <w:rPr>
                <w:rFonts w:hint="eastAsia" w:ascii="宋体" w:hAnsi="宋体" w:cs="宋体"/>
                <w:sz w:val="22"/>
                <w:szCs w:val="22"/>
              </w:rPr>
              <w:t>（1）结算由医院审计/委托的第三方造价咨询公司依据现行定额、工程量清单计价办法、深圳市建设工程造价管理站发布的《深圳建设工程信息价》、对应材料规格品牌市场询价（以医院审计/第三方咨询市场调研审定价为准，取费按中间值原则）计价组价，工程量依据现场实际情况按实计取，乘以</w:t>
            </w:r>
            <w:r>
              <w:rPr>
                <w:rFonts w:hint="eastAsia" w:ascii="宋体" w:hAnsi="宋体" w:cs="宋体"/>
                <w:sz w:val="22"/>
                <w:szCs w:val="22"/>
                <w:lang w:val="en-US" w:eastAsia="zh-CN"/>
              </w:rPr>
              <w:t>中标</w:t>
            </w:r>
            <w:r>
              <w:rPr>
                <w:rFonts w:hint="eastAsia" w:ascii="宋体" w:hAnsi="宋体" w:cs="宋体"/>
                <w:sz w:val="22"/>
                <w:szCs w:val="22"/>
              </w:rPr>
              <w:t xml:space="preserve">折扣率确定结算价。 </w:t>
            </w:r>
          </w:p>
          <w:p w14:paraId="2C73EED2">
            <w:pPr>
              <w:widowControl/>
              <w:rPr>
                <w:rFonts w:hint="eastAsia" w:ascii="宋体" w:hAnsi="宋体" w:cs="宋体"/>
                <w:sz w:val="22"/>
                <w:szCs w:val="22"/>
              </w:rPr>
            </w:pPr>
            <w:r>
              <w:rPr>
                <w:rFonts w:hint="eastAsia" w:ascii="宋体" w:hAnsi="宋体" w:cs="宋体"/>
                <w:sz w:val="22"/>
                <w:szCs w:val="22"/>
              </w:rPr>
              <w:t>（2）修缮工程结算执行现行定额，《深圳市房屋修缮工程消耗量定额（2011）（2014机械））、《深圳市安装工程消耗量定额（2020）》、《深圳市装饰工程消耗量定额（2020）》、《深圳市建筑工程消耗量定额（2016）》、《深圳市装配式建筑工程消耗量定额（2016）》、《深圳市市政工程消耗量定额（2017）》等（按照定额各项适用范围使用）》，最后结果乘以投标折扣率为结算金额。</w:t>
            </w:r>
          </w:p>
          <w:p w14:paraId="7AB98D5D">
            <w:pPr>
              <w:widowControl/>
              <w:rPr>
                <w:rFonts w:hint="eastAsia" w:ascii="宋体" w:hAnsi="宋体" w:cs="宋体"/>
                <w:sz w:val="22"/>
                <w:szCs w:val="22"/>
              </w:rPr>
            </w:pPr>
            <w:r>
              <w:rPr>
                <w:rFonts w:hint="eastAsia" w:ascii="宋体" w:hAnsi="宋体" w:cs="宋体"/>
                <w:sz w:val="22"/>
                <w:szCs w:val="22"/>
              </w:rPr>
              <w:t>2.工程结算要求：</w:t>
            </w:r>
          </w:p>
          <w:p w14:paraId="4203DFD5">
            <w:pPr>
              <w:widowControl/>
              <w:rPr>
                <w:rFonts w:hint="eastAsia" w:ascii="宋体" w:hAnsi="宋体" w:cs="宋体"/>
                <w:sz w:val="22"/>
                <w:szCs w:val="22"/>
              </w:rPr>
            </w:pPr>
            <w:r>
              <w:rPr>
                <w:rFonts w:hint="eastAsia" w:ascii="宋体" w:hAnsi="宋体" w:cs="宋体"/>
                <w:sz w:val="22"/>
                <w:szCs w:val="22"/>
              </w:rPr>
              <w:t xml:space="preserve">（1）设计变更、现场签证必须经采购人的书面确认，否则在竣工结算时医院审计部门不予认可。施工期间使用的主要材料、设备品牌、规格、型号、质量等级必须经采购人书面确认； </w:t>
            </w:r>
          </w:p>
          <w:p w14:paraId="3EBC0A47">
            <w:pPr>
              <w:widowControl/>
              <w:rPr>
                <w:rFonts w:hint="eastAsia" w:ascii="宋体" w:hAnsi="宋体" w:cs="宋体"/>
                <w:sz w:val="22"/>
                <w:szCs w:val="22"/>
              </w:rPr>
            </w:pPr>
            <w:r>
              <w:rPr>
                <w:rFonts w:hint="eastAsia" w:ascii="宋体" w:hAnsi="宋体" w:cs="宋体"/>
                <w:sz w:val="22"/>
                <w:szCs w:val="22"/>
              </w:rPr>
              <w:t>（2）本项目工程的最终结算价，以医院审计/第三方咨造价咨询公司审定且双方确认为准，施工单位必须准确编制竣工结算报价，保证一次性报送结算资料，在结算审核不再补送任何资料；</w:t>
            </w:r>
          </w:p>
          <w:p w14:paraId="7FE0CBC6">
            <w:pPr>
              <w:widowControl/>
              <w:rPr>
                <w:rFonts w:hint="eastAsia" w:ascii="宋体" w:hAnsi="宋体" w:cs="宋体"/>
                <w:sz w:val="22"/>
                <w:szCs w:val="22"/>
              </w:rPr>
            </w:pPr>
            <w:r>
              <w:rPr>
                <w:rFonts w:hint="eastAsia" w:ascii="宋体" w:hAnsi="宋体" w:cs="宋体"/>
                <w:sz w:val="22"/>
                <w:szCs w:val="22"/>
              </w:rPr>
              <w:t>（3）结算金额按采购人审核后审计或其委托的第三方咨询机构出具的结算审核报告为准。审查工程结算时，当采购人或其委托的咨询单位一个批次的结算终审减额大于10%（含10%），该批工程项目所有造价审核费用由施工单位承担。</w:t>
            </w:r>
          </w:p>
          <w:p w14:paraId="3D1C5637">
            <w:pPr>
              <w:widowControl/>
              <w:rPr>
                <w:rFonts w:hint="eastAsia" w:ascii="宋体" w:hAnsi="宋体" w:cs="宋体"/>
                <w:sz w:val="22"/>
                <w:szCs w:val="22"/>
              </w:rPr>
            </w:pPr>
            <w:r>
              <w:rPr>
                <w:rFonts w:hint="eastAsia" w:ascii="宋体" w:hAnsi="宋体" w:cs="宋体"/>
                <w:sz w:val="22"/>
                <w:szCs w:val="22"/>
              </w:rPr>
              <w:t>（4）各种措施费及人工费签证说明：</w:t>
            </w:r>
          </w:p>
          <w:p w14:paraId="27EE67AF">
            <w:pPr>
              <w:widowControl/>
              <w:rPr>
                <w:rFonts w:hint="eastAsia" w:ascii="宋体" w:hAnsi="宋体" w:cs="宋体"/>
                <w:sz w:val="22"/>
                <w:szCs w:val="22"/>
              </w:rPr>
            </w:pPr>
            <w:r>
              <w:rPr>
                <w:rFonts w:hint="eastAsia" w:ascii="宋体" w:hAnsi="宋体" w:cs="宋体"/>
                <w:sz w:val="22"/>
                <w:szCs w:val="22"/>
              </w:rPr>
              <w:t>a.夜间施工增加费计取条件：经项目负责人许可有必要进行夜间施工的项目。</w:t>
            </w:r>
          </w:p>
          <w:p w14:paraId="634A3EFC">
            <w:pPr>
              <w:widowControl/>
              <w:rPr>
                <w:rFonts w:hint="eastAsia" w:ascii="宋体" w:hAnsi="宋体" w:cs="宋体"/>
                <w:sz w:val="22"/>
                <w:szCs w:val="22"/>
              </w:rPr>
            </w:pPr>
            <w:r>
              <w:rPr>
                <w:rFonts w:hint="eastAsia" w:ascii="宋体" w:hAnsi="宋体" w:cs="宋体"/>
                <w:sz w:val="22"/>
                <w:szCs w:val="22"/>
              </w:rPr>
              <w:t>b.需找厂家特殊订制采购的材料且市场无法询价的项目，施工单位提供真实有效的发票、采购合同、送货单、货款收据、网上订单依据、支付凭证等证明材料，并与结算资料一并送审，采购人根据证明材料进行审核。</w:t>
            </w:r>
          </w:p>
          <w:p w14:paraId="134F3F92">
            <w:pPr>
              <w:widowControl/>
              <w:rPr>
                <w:rFonts w:hint="eastAsia" w:ascii="宋体" w:hAnsi="宋体" w:cs="宋体"/>
                <w:sz w:val="22"/>
                <w:szCs w:val="22"/>
              </w:rPr>
            </w:pPr>
            <w:r>
              <w:rPr>
                <w:rFonts w:hint="eastAsia" w:ascii="宋体" w:hAnsi="宋体" w:cs="宋体"/>
                <w:sz w:val="22"/>
                <w:szCs w:val="22"/>
              </w:rPr>
              <w:t>c.特殊项目工程量占比少、材料品种杂、非标准材料的施工项目，材料采购价高于市场价的项目，在结算阶段按实际发生的消耗量进行工程量计算。</w:t>
            </w:r>
          </w:p>
          <w:p w14:paraId="65BE1E24">
            <w:pPr>
              <w:widowControl/>
              <w:rPr>
                <w:rFonts w:hint="eastAsia" w:ascii="宋体" w:hAnsi="宋体" w:cs="宋体"/>
                <w:sz w:val="22"/>
                <w:szCs w:val="22"/>
              </w:rPr>
            </w:pPr>
            <w:r>
              <w:rPr>
                <w:rFonts w:hint="eastAsia" w:ascii="宋体" w:hAnsi="宋体" w:cs="宋体"/>
                <w:sz w:val="22"/>
                <w:szCs w:val="22"/>
              </w:rPr>
              <w:t>施工单位送审结算时需把建筑与装饰工程和安装工程分开单独结算，且需按不同科室的签证内容在送审结算书中作相应的分部，材料综合价以结算周期中间月份为准。</w:t>
            </w:r>
          </w:p>
          <w:p w14:paraId="49E1B472">
            <w:pPr>
              <w:widowControl/>
              <w:rPr>
                <w:rFonts w:hint="eastAsia" w:ascii="宋体" w:hAnsi="宋体" w:cs="宋体"/>
                <w:sz w:val="22"/>
                <w:szCs w:val="22"/>
              </w:rPr>
            </w:pPr>
            <w:r>
              <w:rPr>
                <w:rFonts w:hint="eastAsia" w:ascii="宋体" w:hAnsi="宋体" w:cs="宋体"/>
                <w:sz w:val="22"/>
                <w:szCs w:val="22"/>
              </w:rPr>
              <w:t>d.深圳地区内：如在深圳市内可以采购材料，不再单独给予材料运输费用；深圳地区外，如确实特殊材料需在深圳市外采购的，适当给予材料运输费，施工单位需提供佐证资料。</w:t>
            </w:r>
          </w:p>
          <w:p w14:paraId="31EDFACA">
            <w:pPr>
              <w:widowControl/>
              <w:rPr>
                <w:rFonts w:hint="eastAsia" w:ascii="宋体" w:hAnsi="宋体" w:cs="宋体"/>
                <w:sz w:val="22"/>
                <w:szCs w:val="22"/>
              </w:rPr>
            </w:pPr>
            <w:r>
              <w:rPr>
                <w:rFonts w:hint="eastAsia" w:ascii="宋体" w:hAnsi="宋体" w:cs="宋体"/>
                <w:sz w:val="22"/>
                <w:szCs w:val="22"/>
              </w:rPr>
              <w:t>（5）在施工范围内边生产边施工的工程，按该项工程的人工费增加10%作为工效降效费，约定计取范围如下：</w:t>
            </w:r>
          </w:p>
          <w:p w14:paraId="56E2E604">
            <w:pPr>
              <w:widowControl/>
              <w:rPr>
                <w:rFonts w:hint="eastAsia" w:ascii="宋体" w:hAnsi="宋体" w:cs="宋体"/>
                <w:sz w:val="22"/>
                <w:szCs w:val="22"/>
              </w:rPr>
            </w:pPr>
            <w:r>
              <w:rPr>
                <w:rFonts w:hint="eastAsia" w:ascii="宋体" w:hAnsi="宋体" w:cs="宋体"/>
                <w:sz w:val="22"/>
                <w:szCs w:val="22"/>
              </w:rPr>
              <w:t>a.强电房内：电房内配电装置都是正在供电的设备，施工时需要保护设备及人员安全。</w:t>
            </w:r>
          </w:p>
          <w:p w14:paraId="1E29913F">
            <w:pPr>
              <w:widowControl/>
              <w:rPr>
                <w:rFonts w:hint="eastAsia" w:ascii="宋体" w:hAnsi="宋体" w:cs="宋体"/>
                <w:sz w:val="22"/>
                <w:szCs w:val="22"/>
              </w:rPr>
            </w:pPr>
            <w:r>
              <w:rPr>
                <w:rFonts w:hint="eastAsia" w:ascii="宋体" w:hAnsi="宋体" w:cs="宋体"/>
                <w:sz w:val="22"/>
                <w:szCs w:val="22"/>
              </w:rPr>
              <w:t>b.公共道路、区域上施工：车辆、人员往来频繁，施工时需要避让过往车辆和行人，影响施工的持续性。</w:t>
            </w:r>
          </w:p>
          <w:p w14:paraId="2A99CE9E">
            <w:pPr>
              <w:widowControl/>
              <w:rPr>
                <w:rFonts w:hint="eastAsia" w:ascii="宋体" w:hAnsi="宋体" w:cs="宋体"/>
                <w:sz w:val="22"/>
                <w:szCs w:val="22"/>
              </w:rPr>
            </w:pPr>
            <w:r>
              <w:rPr>
                <w:rFonts w:hint="eastAsia" w:ascii="宋体" w:hAnsi="宋体" w:cs="宋体"/>
                <w:sz w:val="22"/>
                <w:szCs w:val="22"/>
              </w:rPr>
              <w:t>c.法定工作日或者非法定工作日，但有办公人员正常上班和营业的门诊、办公区域内施工：办公人员和办公室设备多，施工时顾及办公人员及设备安全、保证不影响办公人员，施工时尽量不使用噪音大的电工工具，用手动工具，避免发出噪音。</w:t>
            </w:r>
          </w:p>
          <w:p w14:paraId="3DED9EDF">
            <w:pPr>
              <w:widowControl/>
              <w:rPr>
                <w:rFonts w:hint="eastAsia" w:ascii="宋体" w:hAnsi="宋体" w:cs="宋体"/>
                <w:sz w:val="22"/>
                <w:szCs w:val="22"/>
              </w:rPr>
            </w:pPr>
            <w:r>
              <w:rPr>
                <w:rFonts w:hint="eastAsia" w:ascii="宋体" w:hAnsi="宋体" w:cs="宋体"/>
                <w:sz w:val="22"/>
                <w:szCs w:val="22"/>
              </w:rPr>
              <w:t>d.给排水管道不能关停，带水操作的施工项目：管道阀门不能关停，排水管道不能停止污水排放，带水操作，影响施工效率。</w:t>
            </w:r>
          </w:p>
          <w:p w14:paraId="745785C7">
            <w:pPr>
              <w:widowControl/>
              <w:rPr>
                <w:rFonts w:hint="eastAsia" w:ascii="宋体" w:hAnsi="宋体" w:cs="宋体"/>
                <w:sz w:val="22"/>
                <w:szCs w:val="22"/>
              </w:rPr>
            </w:pPr>
            <w:r>
              <w:rPr>
                <w:rFonts w:hint="eastAsia" w:ascii="宋体" w:hAnsi="宋体" w:cs="宋体"/>
                <w:sz w:val="22"/>
                <w:szCs w:val="22"/>
              </w:rPr>
              <w:t>e.病房内施工：施工时尽量不使用噪音大的电工工具，用手动工具，避免发出噪音影响病人及病人家属休息。</w:t>
            </w:r>
          </w:p>
          <w:p w14:paraId="50BE5817">
            <w:pPr>
              <w:widowControl/>
              <w:rPr>
                <w:rFonts w:hint="eastAsia" w:ascii="宋体" w:hAnsi="宋体" w:cs="宋体"/>
                <w:sz w:val="22"/>
                <w:szCs w:val="22"/>
              </w:rPr>
            </w:pPr>
            <w:r>
              <w:rPr>
                <w:rFonts w:hint="eastAsia" w:ascii="宋体" w:hAnsi="宋体" w:cs="宋体"/>
                <w:sz w:val="22"/>
                <w:szCs w:val="22"/>
              </w:rPr>
              <w:t>（6）在有害身体健康（按有关部门的规定）的场所内施工的工程，按该部分工程的人工费增加10%作为工效降效费，约定计取范围：污水处理站内、污水井内、化粪池内，具体由项目负责人签证确认。</w:t>
            </w:r>
          </w:p>
          <w:p w14:paraId="769E0AEE">
            <w:pPr>
              <w:widowControl/>
              <w:rPr>
                <w:rFonts w:hint="eastAsia" w:ascii="宋体" w:hAnsi="宋体" w:cs="宋体"/>
                <w:sz w:val="22"/>
                <w:szCs w:val="22"/>
              </w:rPr>
            </w:pPr>
            <w:r>
              <w:rPr>
                <w:rFonts w:hint="eastAsia" w:ascii="宋体" w:hAnsi="宋体" w:cs="宋体"/>
                <w:sz w:val="22"/>
                <w:szCs w:val="22"/>
              </w:rPr>
              <w:t>（7）零星修缮工程在施工过程中，单项工程量零散、形状异形，实际施工材料损耗量远大于定额材料损耗量，材料损耗率按5%-8%范围参考，需计取材料损耗量项目，项目负责人必须要注明计取材料损耗量事由及原因。</w:t>
            </w:r>
          </w:p>
          <w:p w14:paraId="639ECB47">
            <w:pPr>
              <w:widowControl/>
              <w:rPr>
                <w:rFonts w:hint="eastAsia" w:ascii="宋体" w:hAnsi="宋体" w:cs="宋体"/>
                <w:sz w:val="22"/>
                <w:szCs w:val="22"/>
              </w:rPr>
            </w:pPr>
            <w:r>
              <w:rPr>
                <w:rFonts w:hint="eastAsia" w:ascii="宋体" w:hAnsi="宋体" w:cs="宋体"/>
                <w:sz w:val="22"/>
                <w:szCs w:val="22"/>
              </w:rPr>
              <w:t>（8）在洞内、暗室，已封闭的管道间（井）、地沟、封闭吊顶内安装。b.设备层内空间狭小的地方，需弯腰施工项目。按相应人工降效定额考虑。</w:t>
            </w:r>
          </w:p>
          <w:p w14:paraId="4D2DDCD6">
            <w:pPr>
              <w:widowControl/>
              <w:rPr>
                <w:rFonts w:hint="eastAsia" w:ascii="宋体" w:hAnsi="宋体" w:cs="宋体"/>
                <w:sz w:val="22"/>
                <w:szCs w:val="22"/>
              </w:rPr>
            </w:pPr>
            <w:r>
              <w:rPr>
                <w:rFonts w:hint="eastAsia" w:ascii="宋体" w:hAnsi="宋体" w:cs="宋体"/>
                <w:sz w:val="22"/>
                <w:szCs w:val="22"/>
              </w:rPr>
              <w:t>（9）关于机械台班签证办法：a.机械台班4个小时内按半个台班计算，4个小时以上8小时以内按一个台班计算；b.设备租赁费参照当前月份深圳市建设工程造价管理站发布设备租赁信息，如未有按市场询价为主。</w:t>
            </w:r>
          </w:p>
          <w:p w14:paraId="329C83FE">
            <w:pPr>
              <w:widowControl/>
              <w:rPr>
                <w:rFonts w:hint="eastAsia" w:ascii="宋体" w:hAnsi="宋体" w:cs="宋体"/>
                <w:sz w:val="22"/>
                <w:szCs w:val="22"/>
              </w:rPr>
            </w:pPr>
            <w:r>
              <w:rPr>
                <w:rFonts w:hint="eastAsia" w:ascii="宋体" w:hAnsi="宋体" w:cs="宋体"/>
                <w:sz w:val="22"/>
                <w:szCs w:val="22"/>
              </w:rPr>
              <w:t>（10）夜间施工费计算基数按人工费*20%。</w:t>
            </w:r>
          </w:p>
          <w:p w14:paraId="04C219BB">
            <w:pPr>
              <w:widowControl/>
              <w:rPr>
                <w:rFonts w:hint="eastAsia" w:ascii="宋体" w:hAnsi="宋体" w:cs="宋体"/>
                <w:sz w:val="22"/>
                <w:szCs w:val="22"/>
              </w:rPr>
            </w:pPr>
            <w:r>
              <w:rPr>
                <w:rFonts w:hint="eastAsia" w:ascii="宋体" w:hAnsi="宋体" w:cs="宋体"/>
                <w:sz w:val="22"/>
                <w:szCs w:val="22"/>
              </w:rPr>
              <w:t>结算方式</w:t>
            </w:r>
            <w:r>
              <w:rPr>
                <w:rFonts w:hint="eastAsia" w:ascii="宋体" w:hAnsi="宋体" w:cs="宋体"/>
                <w:sz w:val="22"/>
                <w:szCs w:val="22"/>
              </w:rPr>
              <w:tab/>
            </w:r>
            <w:r>
              <w:rPr>
                <w:rFonts w:hint="eastAsia" w:ascii="宋体" w:hAnsi="宋体" w:cs="宋体"/>
                <w:sz w:val="22"/>
                <w:szCs w:val="22"/>
              </w:rPr>
              <w:t>1.工程结算原则：</w:t>
            </w:r>
          </w:p>
          <w:p w14:paraId="64B48031">
            <w:pPr>
              <w:widowControl/>
              <w:rPr>
                <w:rFonts w:hint="eastAsia" w:ascii="宋体" w:hAnsi="宋体" w:cs="宋体"/>
                <w:sz w:val="22"/>
                <w:szCs w:val="22"/>
              </w:rPr>
            </w:pPr>
            <w:r>
              <w:rPr>
                <w:rFonts w:hint="eastAsia" w:ascii="宋体" w:hAnsi="宋体" w:cs="宋体"/>
                <w:sz w:val="22"/>
                <w:szCs w:val="22"/>
              </w:rPr>
              <w:t xml:space="preserve">（1）结算由医院审计/委托的第三方造价咨询公司依据现行定额、工程量清单计价办法、深圳市建设工程造价管理站发布的《深圳建设工程信息价》、对应材料规格品牌市场询价（以医院审计/第三方咨询市场调研审定价为准，取费按中间值原则）计价组价，工程量依据现场实际情况按实计取，乘以中标折扣率确定结算价。 </w:t>
            </w:r>
          </w:p>
          <w:p w14:paraId="4F6BCE19">
            <w:pPr>
              <w:widowControl/>
              <w:rPr>
                <w:rFonts w:hint="eastAsia" w:ascii="宋体" w:hAnsi="宋体" w:cs="宋体"/>
                <w:sz w:val="22"/>
                <w:szCs w:val="22"/>
              </w:rPr>
            </w:pPr>
            <w:r>
              <w:rPr>
                <w:rFonts w:hint="eastAsia" w:ascii="宋体" w:hAnsi="宋体" w:cs="宋体"/>
                <w:sz w:val="22"/>
                <w:szCs w:val="22"/>
              </w:rPr>
              <w:t>（2）修缮工程结算执行现行定额，《深圳市房屋修缮工程消耗量标准》、《深圳市安装工程消耗量定额》、《深圳市装饰工程消耗量定</w:t>
            </w:r>
            <w:bookmarkStart w:id="2" w:name="_GoBack"/>
            <w:bookmarkEnd w:id="2"/>
            <w:r>
              <w:rPr>
                <w:rFonts w:hint="eastAsia" w:ascii="宋体" w:hAnsi="宋体" w:cs="宋体"/>
                <w:sz w:val="22"/>
                <w:szCs w:val="22"/>
              </w:rPr>
              <w:t>额》、《深圳市建筑工程消耗量定额》、《深圳市装配式建筑工程消耗量定额》、《深圳市市政工程消耗量定额》等（按照定额各项适用范围使用）》，最后结果乘以投标折扣率为结算金额。</w:t>
            </w:r>
          </w:p>
          <w:p w14:paraId="60376955">
            <w:pPr>
              <w:widowControl/>
              <w:rPr>
                <w:rFonts w:hint="eastAsia" w:ascii="宋体" w:hAnsi="宋体" w:cs="宋体"/>
                <w:sz w:val="22"/>
                <w:szCs w:val="22"/>
              </w:rPr>
            </w:pPr>
            <w:r>
              <w:rPr>
                <w:rFonts w:hint="eastAsia" w:ascii="宋体" w:hAnsi="宋体" w:cs="宋体"/>
                <w:sz w:val="22"/>
                <w:szCs w:val="22"/>
              </w:rPr>
              <w:t>2.工程结算要求：</w:t>
            </w:r>
          </w:p>
          <w:p w14:paraId="0C408F5A">
            <w:pPr>
              <w:widowControl/>
              <w:rPr>
                <w:rFonts w:hint="eastAsia" w:ascii="宋体" w:hAnsi="宋体" w:cs="宋体"/>
                <w:sz w:val="22"/>
                <w:szCs w:val="22"/>
              </w:rPr>
            </w:pPr>
            <w:r>
              <w:rPr>
                <w:rFonts w:hint="eastAsia" w:ascii="宋体" w:hAnsi="宋体" w:cs="宋体"/>
                <w:sz w:val="22"/>
                <w:szCs w:val="22"/>
              </w:rPr>
              <w:t xml:space="preserve">（1）设计变更、现场签证必须经采购人的书面确认，否则在竣工结算时医院审计部门/委托的第三方造价咨询公司不予认可。施工期间使用的主要材料、设备品牌、规格、型号、质量等级必须经采购人书面确认； </w:t>
            </w:r>
          </w:p>
          <w:p w14:paraId="227EA67F">
            <w:pPr>
              <w:widowControl/>
              <w:rPr>
                <w:rFonts w:hint="eastAsia" w:ascii="宋体" w:hAnsi="宋体" w:cs="宋体"/>
                <w:sz w:val="22"/>
                <w:szCs w:val="22"/>
              </w:rPr>
            </w:pPr>
            <w:r>
              <w:rPr>
                <w:rFonts w:hint="eastAsia" w:ascii="宋体" w:hAnsi="宋体" w:cs="宋体"/>
                <w:sz w:val="22"/>
                <w:szCs w:val="22"/>
              </w:rPr>
              <w:t>（2）本项目工程的最终结算价，以医院审计/第三方咨造价咨询公司审定且双方确认为准，施工单位必须准确编制竣工结算报价，保证一次性报送结算资料，在结算审核不再补送任何资料；</w:t>
            </w:r>
          </w:p>
          <w:p w14:paraId="4AF5F2F9">
            <w:pPr>
              <w:widowControl/>
              <w:rPr>
                <w:rFonts w:hint="eastAsia" w:ascii="宋体" w:hAnsi="宋体" w:cs="宋体"/>
                <w:sz w:val="22"/>
                <w:szCs w:val="22"/>
              </w:rPr>
            </w:pPr>
            <w:r>
              <w:rPr>
                <w:rFonts w:hint="eastAsia" w:ascii="宋体" w:hAnsi="宋体" w:cs="宋体"/>
                <w:sz w:val="22"/>
                <w:szCs w:val="22"/>
              </w:rPr>
              <w:t>（3）结算金额按采购人审核后审计或其委托的第三方咨询机构出具的结算审核报告为准。审查工程结算时，当采购人或其委托的咨询单位一个批次的结算终审减额大于10%（含10%），该批工程项目所有造价审核费用由施工单位承担。</w:t>
            </w:r>
          </w:p>
          <w:p w14:paraId="50A9726E">
            <w:pPr>
              <w:widowControl/>
              <w:rPr>
                <w:rFonts w:hint="eastAsia" w:ascii="宋体" w:hAnsi="宋体" w:cs="宋体"/>
                <w:sz w:val="22"/>
                <w:szCs w:val="22"/>
              </w:rPr>
            </w:pPr>
            <w:r>
              <w:rPr>
                <w:rFonts w:hint="eastAsia" w:ascii="宋体" w:hAnsi="宋体" w:cs="宋体"/>
                <w:sz w:val="22"/>
                <w:szCs w:val="22"/>
              </w:rPr>
              <w:t>（4）各种措施费及人工费签证说明：</w:t>
            </w:r>
          </w:p>
          <w:p w14:paraId="61001420">
            <w:pPr>
              <w:widowControl/>
              <w:rPr>
                <w:rFonts w:hint="eastAsia" w:ascii="宋体" w:hAnsi="宋体" w:cs="宋体"/>
                <w:sz w:val="22"/>
                <w:szCs w:val="22"/>
              </w:rPr>
            </w:pPr>
            <w:r>
              <w:rPr>
                <w:rFonts w:hint="eastAsia" w:ascii="宋体" w:hAnsi="宋体" w:cs="宋体"/>
                <w:sz w:val="22"/>
                <w:szCs w:val="22"/>
              </w:rPr>
              <w:t>a.夜间施工增加费计取条件：经项目负责人许可有必要进行夜间施工的项目。</w:t>
            </w:r>
          </w:p>
          <w:p w14:paraId="531EC2C9">
            <w:pPr>
              <w:widowControl/>
              <w:rPr>
                <w:rFonts w:hint="eastAsia" w:ascii="宋体" w:hAnsi="宋体" w:cs="宋体"/>
                <w:sz w:val="22"/>
                <w:szCs w:val="22"/>
              </w:rPr>
            </w:pPr>
            <w:r>
              <w:rPr>
                <w:rFonts w:hint="eastAsia" w:ascii="宋体" w:hAnsi="宋体" w:cs="宋体"/>
                <w:sz w:val="22"/>
                <w:szCs w:val="22"/>
              </w:rPr>
              <w:t>b.需找厂家特殊订制采购的材料且市场无法询价的项目，施工单位提供真实有效的发票、采购合同、送货单、货款收据、网上订单依据、支付凭证等证明材料，并与结算资料一并送审，采购人根据证明材料进行审核。</w:t>
            </w:r>
          </w:p>
          <w:p w14:paraId="55E42C87">
            <w:pPr>
              <w:widowControl/>
              <w:rPr>
                <w:rFonts w:hint="eastAsia" w:ascii="宋体" w:hAnsi="宋体" w:cs="宋体"/>
                <w:sz w:val="22"/>
                <w:szCs w:val="22"/>
              </w:rPr>
            </w:pPr>
            <w:r>
              <w:rPr>
                <w:rFonts w:hint="eastAsia" w:ascii="宋体" w:hAnsi="宋体" w:cs="宋体"/>
                <w:sz w:val="22"/>
                <w:szCs w:val="22"/>
              </w:rPr>
              <w:t>2.工程结算要求：</w:t>
            </w:r>
          </w:p>
          <w:p w14:paraId="1B6A5863">
            <w:pPr>
              <w:widowControl/>
              <w:rPr>
                <w:rFonts w:hint="eastAsia" w:ascii="宋体" w:hAnsi="宋体" w:cs="宋体"/>
                <w:sz w:val="22"/>
                <w:szCs w:val="22"/>
              </w:rPr>
            </w:pPr>
            <w:r>
              <w:rPr>
                <w:rFonts w:hint="eastAsia" w:ascii="宋体" w:hAnsi="宋体" w:cs="宋体"/>
                <w:sz w:val="22"/>
                <w:szCs w:val="22"/>
              </w:rPr>
              <w:t xml:space="preserve">（1）设计变更、现场签证必须经采购人的书面确认，否则在竣工结算时医院审计部门/委托的第三方造价咨询公司不予认可。施工期间使用的主要材料、设备品牌、规格、型号、质量等级必须经采购人书面确认； </w:t>
            </w:r>
          </w:p>
          <w:p w14:paraId="7D3656B0">
            <w:pPr>
              <w:widowControl/>
              <w:rPr>
                <w:rFonts w:hint="eastAsia" w:ascii="宋体" w:hAnsi="宋体" w:cs="宋体"/>
                <w:sz w:val="22"/>
                <w:szCs w:val="22"/>
              </w:rPr>
            </w:pPr>
            <w:r>
              <w:rPr>
                <w:rFonts w:hint="eastAsia" w:ascii="宋体" w:hAnsi="宋体" w:cs="宋体"/>
                <w:sz w:val="22"/>
                <w:szCs w:val="22"/>
              </w:rPr>
              <w:t>（2）本项目工程的最终结算价，以医院审计/第三方咨造价咨询公司审定且双方确认为准，施工单位必须准确编制竣工结算报价，保证一次性报送结算资料，在结算审核不再补送任何资料；</w:t>
            </w:r>
          </w:p>
          <w:p w14:paraId="1AD24D42">
            <w:pPr>
              <w:widowControl/>
              <w:rPr>
                <w:rFonts w:hint="eastAsia" w:ascii="宋体" w:hAnsi="宋体" w:cs="宋体"/>
                <w:sz w:val="22"/>
                <w:szCs w:val="22"/>
              </w:rPr>
            </w:pPr>
            <w:r>
              <w:rPr>
                <w:rFonts w:hint="eastAsia" w:ascii="宋体" w:hAnsi="宋体" w:cs="宋体"/>
                <w:sz w:val="22"/>
                <w:szCs w:val="22"/>
              </w:rPr>
              <w:t>（3）结算金额按采购人审核后审计或其委托的第三方咨询机构出具的结算审核报告为准。审查工程结算时，当采购人或其委托的咨询单位一个批次的结算终审减额大于10%（含10%），该批工程项目所有造价审核费用由施工单位承担。</w:t>
            </w:r>
          </w:p>
          <w:p w14:paraId="2F4BA509">
            <w:pPr>
              <w:widowControl/>
              <w:rPr>
                <w:rFonts w:hint="eastAsia" w:ascii="宋体" w:hAnsi="宋体" w:cs="宋体"/>
                <w:sz w:val="22"/>
                <w:szCs w:val="22"/>
              </w:rPr>
            </w:pPr>
            <w:r>
              <w:rPr>
                <w:rFonts w:hint="eastAsia" w:ascii="宋体" w:hAnsi="宋体" w:cs="宋体"/>
                <w:sz w:val="22"/>
                <w:szCs w:val="22"/>
              </w:rPr>
              <w:t>（4）各种措施费及人工费签证说明：</w:t>
            </w:r>
          </w:p>
          <w:p w14:paraId="0E50C1D4">
            <w:pPr>
              <w:widowControl/>
              <w:rPr>
                <w:rFonts w:hint="eastAsia" w:ascii="宋体" w:hAnsi="宋体" w:cs="宋体"/>
                <w:sz w:val="22"/>
                <w:szCs w:val="22"/>
              </w:rPr>
            </w:pPr>
            <w:r>
              <w:rPr>
                <w:rFonts w:hint="eastAsia" w:ascii="宋体" w:hAnsi="宋体" w:cs="宋体"/>
                <w:sz w:val="22"/>
                <w:szCs w:val="22"/>
              </w:rPr>
              <w:t>a.夜间施工增加费计取条件：经项目负责人许可有必要进行夜间施工的项目。</w:t>
            </w:r>
          </w:p>
          <w:p w14:paraId="253B0B80">
            <w:pPr>
              <w:widowControl/>
              <w:rPr>
                <w:rFonts w:hint="eastAsia" w:ascii="宋体" w:hAnsi="宋体" w:cs="宋体"/>
                <w:sz w:val="22"/>
                <w:szCs w:val="22"/>
              </w:rPr>
            </w:pPr>
            <w:r>
              <w:rPr>
                <w:rFonts w:hint="eastAsia" w:ascii="宋体" w:hAnsi="宋体" w:cs="宋体"/>
                <w:sz w:val="22"/>
                <w:szCs w:val="22"/>
              </w:rPr>
              <w:t>b.需找厂家特殊订制采购的材料且市场无法询价的项目，施工单位提供真实有效的发票、采购合同、送货单、货款收据、网上订单依据、支付凭证等证明材料，并与结算资料一并送审，采购人根据证明材料进行审核。</w:t>
            </w:r>
          </w:p>
        </w:tc>
      </w:tr>
      <w:tr w14:paraId="677D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31" w:type="dxa"/>
            <w:vAlign w:val="center"/>
          </w:tcPr>
          <w:p w14:paraId="393F5EB8">
            <w:pPr>
              <w:widowControl/>
              <w:jc w:val="center"/>
              <w:rPr>
                <w:rFonts w:ascii="宋体" w:hAnsi="宋体" w:cs="宋体"/>
                <w:kern w:val="0"/>
                <w:sz w:val="22"/>
                <w:szCs w:val="22"/>
              </w:rPr>
            </w:pPr>
            <w:r>
              <w:rPr>
                <w:rFonts w:hint="eastAsia" w:ascii="宋体" w:hAnsi="宋体" w:cs="宋体"/>
                <w:kern w:val="0"/>
                <w:sz w:val="22"/>
                <w:szCs w:val="22"/>
              </w:rPr>
              <w:t>6</w:t>
            </w:r>
          </w:p>
        </w:tc>
        <w:tc>
          <w:tcPr>
            <w:tcW w:w="1125" w:type="dxa"/>
            <w:vAlign w:val="center"/>
          </w:tcPr>
          <w:p w14:paraId="29F6A473">
            <w:pPr>
              <w:widowControl/>
              <w:jc w:val="center"/>
              <w:rPr>
                <w:rFonts w:ascii="宋体" w:hAnsi="宋体" w:cs="宋体"/>
                <w:b/>
                <w:bCs/>
                <w:sz w:val="22"/>
                <w:szCs w:val="22"/>
              </w:rPr>
            </w:pPr>
            <w:r>
              <w:rPr>
                <w:rFonts w:hint="eastAsia" w:ascii="宋体" w:hAnsi="宋体" w:cs="宋体"/>
                <w:b/>
                <w:szCs w:val="21"/>
              </w:rPr>
              <w:t>★</w:t>
            </w:r>
            <w:r>
              <w:rPr>
                <w:rFonts w:hint="eastAsia" w:ascii="宋体" w:hAnsi="宋体" w:cs="宋体"/>
                <w:b/>
                <w:bCs/>
                <w:sz w:val="22"/>
                <w:szCs w:val="22"/>
              </w:rPr>
              <w:t>关于验收</w:t>
            </w:r>
          </w:p>
        </w:tc>
        <w:tc>
          <w:tcPr>
            <w:tcW w:w="6561" w:type="dxa"/>
          </w:tcPr>
          <w:p w14:paraId="4246328D">
            <w:pPr>
              <w:widowControl/>
              <w:rPr>
                <w:rFonts w:hint="eastAsia" w:ascii="宋体" w:hAnsi="宋体" w:cs="宋体"/>
                <w:bCs/>
                <w:sz w:val="22"/>
                <w:szCs w:val="22"/>
              </w:rPr>
            </w:pPr>
            <w:r>
              <w:rPr>
                <w:rFonts w:hint="eastAsia" w:ascii="宋体" w:hAnsi="宋体" w:cs="宋体"/>
                <w:bCs/>
                <w:sz w:val="22"/>
                <w:szCs w:val="22"/>
              </w:rPr>
              <w:t>1.工程质量应达到合同约定的质量标准，达不到约定标准的，投标人应承担违约责任。</w:t>
            </w:r>
          </w:p>
          <w:p w14:paraId="64F5EA72">
            <w:pPr>
              <w:widowControl/>
              <w:rPr>
                <w:rFonts w:hint="eastAsia" w:ascii="宋体" w:hAnsi="宋体" w:cs="宋体"/>
                <w:bCs/>
                <w:sz w:val="22"/>
                <w:szCs w:val="22"/>
              </w:rPr>
            </w:pPr>
            <w:r>
              <w:rPr>
                <w:rFonts w:hint="eastAsia" w:ascii="宋体" w:hAnsi="宋体" w:cs="宋体"/>
                <w:bCs/>
                <w:sz w:val="22"/>
                <w:szCs w:val="22"/>
              </w:rPr>
              <w:t>2.由于投标人原因造成质量事故的，其返工费用由投标人承担，工期不顺延。</w:t>
            </w:r>
          </w:p>
          <w:p w14:paraId="1C5593FD">
            <w:pPr>
              <w:widowControl/>
              <w:rPr>
                <w:rFonts w:hint="eastAsia" w:ascii="宋体" w:hAnsi="宋体" w:cs="宋体"/>
                <w:bCs/>
                <w:sz w:val="22"/>
                <w:szCs w:val="22"/>
              </w:rPr>
            </w:pPr>
            <w:r>
              <w:rPr>
                <w:rFonts w:hint="eastAsia" w:ascii="宋体" w:hAnsi="宋体" w:cs="宋体"/>
                <w:bCs/>
                <w:sz w:val="22"/>
                <w:szCs w:val="22"/>
              </w:rPr>
              <w:t>3.工程竣工后，投标人应当通知采购人进行竣工验收（同时提交竣工图），采购人自接到通知后3日内进行验收。由采购人后勤安保部组织各相关职能科室、使用部门进行竣工验收。</w:t>
            </w:r>
          </w:p>
          <w:p w14:paraId="23C594A7">
            <w:pPr>
              <w:widowControl/>
              <w:rPr>
                <w:rFonts w:hint="eastAsia" w:ascii="宋体" w:hAnsi="宋体" w:cs="宋体"/>
                <w:bCs/>
                <w:sz w:val="22"/>
                <w:szCs w:val="22"/>
              </w:rPr>
            </w:pPr>
            <w:r>
              <w:rPr>
                <w:rFonts w:hint="eastAsia" w:ascii="宋体" w:hAnsi="宋体" w:cs="宋体"/>
                <w:bCs/>
                <w:sz w:val="22"/>
                <w:szCs w:val="22"/>
              </w:rPr>
              <w:t>4.投标人准备完整验收资料，投标人根据施工图纸及现场实际发生工程量计算，依据合同工程结算原则组价编制结算，配合采购人对工程量、施工材料、工程质量进行验收。</w:t>
            </w:r>
          </w:p>
          <w:p w14:paraId="29E79223">
            <w:pPr>
              <w:widowControl/>
              <w:rPr>
                <w:rFonts w:ascii="宋体" w:hAnsi="宋体" w:cs="宋体"/>
                <w:sz w:val="22"/>
                <w:szCs w:val="22"/>
              </w:rPr>
            </w:pPr>
            <w:r>
              <w:rPr>
                <w:rFonts w:hint="eastAsia" w:ascii="宋体" w:hAnsi="宋体" w:cs="宋体"/>
                <w:bCs/>
                <w:sz w:val="22"/>
                <w:szCs w:val="22"/>
              </w:rPr>
              <w:t>5.竣工验收合格的，由投标人和采购人双方签署《工程质量验收单》。投标人应在竣工验收后5日内向采购人出具《工程保修单》，并向采购人提供其施工部分的水、电等隐蔽工程竣工图。保修期自工程竣工验收合格之日起算。</w:t>
            </w:r>
          </w:p>
        </w:tc>
      </w:tr>
      <w:tr w14:paraId="7A10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31" w:type="dxa"/>
            <w:vAlign w:val="center"/>
          </w:tcPr>
          <w:p w14:paraId="3F55ED94">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w:t>
            </w:r>
          </w:p>
        </w:tc>
        <w:tc>
          <w:tcPr>
            <w:tcW w:w="1125" w:type="dxa"/>
            <w:vAlign w:val="center"/>
          </w:tcPr>
          <w:p w14:paraId="14C8C170">
            <w:pPr>
              <w:widowControl/>
              <w:jc w:val="center"/>
              <w:rPr>
                <w:rFonts w:hint="eastAsia" w:ascii="宋体" w:hAnsi="宋体" w:cs="宋体"/>
                <w:b/>
                <w:bCs/>
                <w:sz w:val="22"/>
                <w:szCs w:val="22"/>
              </w:rPr>
            </w:pPr>
            <w:r>
              <w:rPr>
                <w:rFonts w:hint="eastAsia" w:ascii="宋体" w:hAnsi="宋体" w:cs="宋体"/>
                <w:b/>
                <w:bCs/>
                <w:sz w:val="22"/>
                <w:szCs w:val="22"/>
              </w:rPr>
              <w:t>违约责任</w:t>
            </w:r>
          </w:p>
        </w:tc>
        <w:tc>
          <w:tcPr>
            <w:tcW w:w="6561" w:type="dxa"/>
          </w:tcPr>
          <w:p w14:paraId="7EE8042A">
            <w:pPr>
              <w:widowControl/>
              <w:rPr>
                <w:rFonts w:hint="eastAsia" w:ascii="宋体" w:hAnsi="宋体" w:cs="宋体"/>
                <w:bCs/>
                <w:sz w:val="22"/>
                <w:szCs w:val="22"/>
              </w:rPr>
            </w:pPr>
            <w:r>
              <w:rPr>
                <w:rFonts w:hint="eastAsia" w:ascii="宋体" w:hAnsi="宋体" w:cs="宋体"/>
                <w:bCs/>
                <w:sz w:val="22"/>
                <w:szCs w:val="22"/>
              </w:rPr>
              <w:t>1.因中标人原因延误工期的，每延期1日，中标人应向采购人支付工程项目金额的1%的违约金。中标人延误工期超过15日的，采购人有权单方解除合同。采购人解除合同的，中标人除应按照约定承担工期延误的违约金外，还应赔偿采购人因解除合同造成的损失。中标人不得擅自将采购人委派的工程项目转包或者分包给他人施工，否则采购人有权解除合同并要求中标人按照合同金额的10%支付违约金；</w:t>
            </w:r>
          </w:p>
          <w:p w14:paraId="1FD186C7">
            <w:pPr>
              <w:widowControl/>
              <w:rPr>
                <w:rFonts w:hint="eastAsia" w:ascii="宋体" w:hAnsi="宋体" w:cs="宋体"/>
                <w:bCs/>
                <w:sz w:val="22"/>
                <w:szCs w:val="22"/>
              </w:rPr>
            </w:pPr>
            <w:r>
              <w:rPr>
                <w:rFonts w:hint="eastAsia" w:ascii="宋体" w:hAnsi="宋体" w:cs="宋体"/>
                <w:bCs/>
                <w:sz w:val="22"/>
                <w:szCs w:val="22"/>
              </w:rPr>
              <w:t>2.中标人未按照约定履行保修义务，应赔偿因此给采购人造成的损失，并应向采购人支付合同总价30%的违约金。</w:t>
            </w:r>
          </w:p>
          <w:p w14:paraId="1680FAC4">
            <w:pPr>
              <w:widowControl/>
              <w:rPr>
                <w:rFonts w:hint="eastAsia" w:ascii="宋体" w:hAnsi="宋体" w:cs="宋体"/>
                <w:bCs/>
                <w:sz w:val="22"/>
                <w:szCs w:val="22"/>
              </w:rPr>
            </w:pPr>
            <w:r>
              <w:rPr>
                <w:rFonts w:hint="eastAsia" w:ascii="宋体" w:hAnsi="宋体" w:cs="宋体"/>
                <w:bCs/>
                <w:sz w:val="22"/>
                <w:szCs w:val="22"/>
              </w:rPr>
              <w:t>3.中标人延误或怠于履行合同义务的，经采购人催告后在合理期限内仍不履行的，采购人有权自行委托第三方履行中标人延误或怠于履行的合同义务，因委托第三方产生的所有费用由中标人承担。</w:t>
            </w:r>
          </w:p>
          <w:p w14:paraId="39905910">
            <w:pPr>
              <w:widowControl/>
              <w:rPr>
                <w:rFonts w:hint="eastAsia" w:ascii="宋体" w:hAnsi="宋体" w:cs="宋体"/>
                <w:bCs/>
                <w:sz w:val="22"/>
                <w:szCs w:val="22"/>
              </w:rPr>
            </w:pPr>
            <w:r>
              <w:rPr>
                <w:rFonts w:hint="eastAsia" w:ascii="宋体" w:hAnsi="宋体" w:cs="宋体"/>
                <w:bCs/>
                <w:sz w:val="22"/>
                <w:szCs w:val="22"/>
              </w:rPr>
              <w:t>4.中标人所交付项目的功能、质量、技术参数等方面不能实质性满足招标文件要求的，采购人有权拒绝验收，中标方向采购人偿付2倍项目服务价格的违约金。</w:t>
            </w:r>
          </w:p>
          <w:p w14:paraId="32B536E0">
            <w:pPr>
              <w:widowControl/>
              <w:rPr>
                <w:rFonts w:hint="eastAsia" w:ascii="宋体" w:hAnsi="宋体" w:cs="宋体"/>
                <w:bCs/>
                <w:sz w:val="22"/>
                <w:szCs w:val="22"/>
              </w:rPr>
            </w:pPr>
            <w:r>
              <w:rPr>
                <w:rFonts w:hint="eastAsia" w:ascii="宋体" w:hAnsi="宋体" w:cs="宋体"/>
                <w:bCs/>
                <w:sz w:val="22"/>
                <w:szCs w:val="22"/>
              </w:rPr>
              <w:t>5.用在</w:t>
            </w:r>
            <w:r>
              <w:rPr>
                <w:rFonts w:hint="eastAsia" w:ascii="宋体" w:hAnsi="宋体" w:cs="宋体"/>
                <w:bCs/>
                <w:sz w:val="22"/>
                <w:szCs w:val="22"/>
                <w:lang w:val="en-US" w:eastAsia="zh-CN"/>
              </w:rPr>
              <w:t>本项目涉及的零星工程</w:t>
            </w:r>
            <w:r>
              <w:rPr>
                <w:rFonts w:hint="eastAsia" w:ascii="宋体" w:hAnsi="宋体" w:cs="宋体"/>
                <w:bCs/>
                <w:sz w:val="22"/>
                <w:szCs w:val="22"/>
              </w:rPr>
              <w:t>的任何材料在使用前应得到采购人的批准，样品需在大批订货前送审；获准的样品存放在工地，作为以后验收材料的标准；所有主材和辅材严禁贴牌等侵权行为，一旦查明为贴牌，或产品质量达不到设计图标准，采购人有权取消投标人的中标资格或单方面解除本合同，由此造成的违约责任由投标人承担；样品和其包装，由投标人无偿提供。</w:t>
            </w:r>
          </w:p>
          <w:p w14:paraId="769C06CF">
            <w:pPr>
              <w:widowControl/>
              <w:rPr>
                <w:rFonts w:hint="eastAsia" w:ascii="宋体" w:hAnsi="宋体" w:cs="宋体"/>
                <w:bCs/>
                <w:sz w:val="22"/>
                <w:szCs w:val="22"/>
              </w:rPr>
            </w:pPr>
            <w:r>
              <w:rPr>
                <w:rFonts w:hint="eastAsia" w:ascii="宋体" w:hAnsi="宋体" w:cs="宋体"/>
                <w:bCs/>
                <w:sz w:val="22"/>
                <w:szCs w:val="22"/>
              </w:rPr>
              <w:t>6.</w:t>
            </w:r>
            <w:r>
              <w:rPr>
                <w:rFonts w:hint="eastAsia" w:ascii="宋体" w:hAnsi="宋体" w:cs="宋体"/>
                <w:bCs/>
                <w:sz w:val="22"/>
                <w:szCs w:val="22"/>
                <w:lang w:val="en-US" w:eastAsia="zh-CN"/>
              </w:rPr>
              <w:t>本项目涉及的零星工程</w:t>
            </w:r>
            <w:r>
              <w:rPr>
                <w:rFonts w:hint="eastAsia" w:ascii="宋体" w:hAnsi="宋体" w:cs="宋体"/>
                <w:bCs/>
                <w:sz w:val="22"/>
                <w:szCs w:val="22"/>
              </w:rPr>
              <w:t>由投标人指定专人负责，并按</w:t>
            </w:r>
            <w:r>
              <w:rPr>
                <w:rFonts w:hint="eastAsia" w:ascii="宋体" w:hAnsi="宋体" w:cs="宋体"/>
                <w:bCs/>
                <w:sz w:val="22"/>
                <w:szCs w:val="22"/>
                <w:lang w:val="en-US" w:eastAsia="zh-CN"/>
              </w:rPr>
              <w:t>投标人中标时的投标文件响应情况</w:t>
            </w:r>
            <w:r>
              <w:rPr>
                <w:rFonts w:hint="eastAsia" w:ascii="宋体" w:hAnsi="宋体" w:cs="宋体"/>
                <w:bCs/>
                <w:sz w:val="22"/>
                <w:szCs w:val="22"/>
              </w:rPr>
              <w:t>配备项目管理团队；项目负责人施工时间段需驻守现场；</w:t>
            </w:r>
          </w:p>
          <w:p w14:paraId="793F21C5">
            <w:pPr>
              <w:widowControl/>
              <w:rPr>
                <w:rFonts w:hint="eastAsia" w:ascii="宋体" w:hAnsi="宋体" w:cs="宋体"/>
                <w:bCs/>
                <w:sz w:val="22"/>
                <w:szCs w:val="22"/>
              </w:rPr>
            </w:pPr>
            <w:r>
              <w:rPr>
                <w:rFonts w:hint="eastAsia" w:ascii="宋体" w:hAnsi="宋体" w:cs="宋体"/>
                <w:bCs/>
                <w:sz w:val="22"/>
                <w:szCs w:val="22"/>
              </w:rPr>
              <w:t>7.投标人保证投标文件中规定的产品或其中的任何一部分免受第三方提出侵犯其专利权、商标权或其它知识产权的起诉；如发生以上此类纠纷，由投标人承担一切责任。</w:t>
            </w:r>
          </w:p>
          <w:p w14:paraId="2B7C2DBD">
            <w:pPr>
              <w:widowControl/>
              <w:rPr>
                <w:rFonts w:hint="eastAsia" w:ascii="宋体" w:hAnsi="宋体" w:cs="宋体"/>
                <w:bCs/>
                <w:sz w:val="22"/>
                <w:szCs w:val="22"/>
              </w:rPr>
            </w:pPr>
            <w:r>
              <w:rPr>
                <w:rFonts w:hint="eastAsia" w:ascii="宋体" w:hAnsi="宋体" w:cs="宋体"/>
                <w:bCs/>
                <w:sz w:val="22"/>
                <w:szCs w:val="22"/>
              </w:rPr>
              <w:t>8.施工单位在施工中偷工减料的，使用不合格的建筑材料、建筑构配件和设备的，或者有不按照工程设计图纸或者施工组织设计进行施工的其他行为的，采购人有权责令改正，并有权每次从未付款中直接扣除5000元作为违约金；造成建设工程质量不符合规定的质量标准的，负责返工、修理，并赔偿采购人因此造成的损失。</w:t>
            </w:r>
          </w:p>
          <w:p w14:paraId="002066E9">
            <w:pPr>
              <w:widowControl/>
              <w:rPr>
                <w:rFonts w:hint="eastAsia" w:ascii="宋体" w:hAnsi="宋体" w:cs="宋体"/>
                <w:bCs/>
                <w:sz w:val="22"/>
                <w:szCs w:val="22"/>
              </w:rPr>
            </w:pPr>
            <w:r>
              <w:rPr>
                <w:rFonts w:hint="eastAsia" w:ascii="宋体" w:hAnsi="宋体" w:cs="宋体"/>
                <w:bCs/>
                <w:sz w:val="22"/>
                <w:szCs w:val="22"/>
              </w:rPr>
              <w:t>9.如投标人未按照合同约定履行义务，包括但不限于提供的工程质量不合格等，经采购人通知后仍未按期纠正违约行为的，采购人有权单方解除本合同，不予支付相应费用，并有权要求采购人赔偿由此造成的一切损失（包括但不限于直接损失、诉讼费/仲裁费、律师费等）。</w:t>
            </w:r>
          </w:p>
        </w:tc>
      </w:tr>
    </w:tbl>
    <w:p w14:paraId="191A28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E7BE1F"/>
    <w:multiLevelType w:val="singleLevel"/>
    <w:tmpl w:val="2EE7BE1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B2E7A"/>
    <w:rsid w:val="0B1E54CC"/>
    <w:rsid w:val="44AB2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4"/>
    <w:qFormat/>
    <w:uiPriority w:val="0"/>
    <w:pPr>
      <w:adjustRightInd w:val="0"/>
      <w:jc w:val="center"/>
      <w:textAlignment w:val="baseline"/>
      <w:outlineLvl w:val="1"/>
    </w:pPr>
    <w:rPr>
      <w:kern w:val="0"/>
      <w:sz w:val="24"/>
      <w:szCs w:val="20"/>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annotation text"/>
    <w:basedOn w:val="1"/>
    <w:qFormat/>
    <w:uiPriority w:val="99"/>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line="360" w:lineRule="auto"/>
    </w:pPr>
    <w:rPr>
      <w:b/>
      <w:bCs/>
      <w:sz w:val="24"/>
    </w:rPr>
  </w:style>
  <w:style w:type="paragraph" w:styleId="7">
    <w:name w:val="Body Text Indent"/>
    <w:basedOn w:val="1"/>
    <w:qFormat/>
    <w:uiPriority w:val="0"/>
    <w:pPr>
      <w:spacing w:line="360" w:lineRule="auto"/>
      <w:ind w:firstLine="420" w:firstLineChars="200"/>
    </w:pPr>
  </w:style>
  <w:style w:type="paragraph" w:styleId="8">
    <w:name w:val="Body Text First Indent 2"/>
    <w:basedOn w:val="7"/>
    <w:qFormat/>
    <w:uiPriority w:val="0"/>
    <w:pPr>
      <w:ind w:firstLine="420"/>
    </w:pPr>
  </w:style>
  <w:style w:type="paragraph" w:styleId="11">
    <w:name w:val="List Paragraph"/>
    <w:basedOn w:val="1"/>
    <w:qFormat/>
    <w:uiPriority w:val="34"/>
    <w:pPr>
      <w:ind w:firstLine="420" w:firstLineChars="200"/>
    </w:pPr>
    <w:rPr>
      <w:rFonts w:ascii="Calibri" w:hAnsi="Calibri"/>
      <w:szCs w:val="22"/>
    </w:rPr>
  </w:style>
  <w:style w:type="paragraph" w:customStyle="1" w:styleId="12">
    <w:name w:val="列出段落2"/>
    <w:basedOn w:val="1"/>
    <w:qFormat/>
    <w:uiPriority w:val="99"/>
    <w:pPr>
      <w:ind w:firstLine="420"/>
    </w:pPr>
    <w:rPr>
      <w:rFonts w:hAnsi="Calibri"/>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8</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2025-05-28T06:27:00Z</dcterms:created>
  <dc:creator>邹剑</dc:creator>
  <cp:lastModifiedBy>邹剑</cp:lastModifiedBy>
  <dcterms:modified xsi:type="dcterms:W3CDTF">2025-05-28T06:36:46Z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275AA180909E49429DFED587C9CD952C_11</vt:lpwstr>
  </property>
  <property fmtid="{D5CDD505-2E9C-101B-9397-08002B2CF9AE}" pid="4" name="KSOTemplateDocerSaveRecord">
    <vt:lpwstr>eyJoZGlkIjoiN2IyNzMxM2JmMjA5MjhkZTUxODNlOWFmMjcyMmM1ZmMiLCJ1c2VySWQiOiI0NDEyNDA0MTQifQ==</vt:lpwstr>
  </property>
</Properties>
</file>