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E1D4F">
      <w:pPr>
        <w:tabs>
          <w:tab w:val="left" w:pos="1608"/>
        </w:tabs>
        <w:spacing w:line="354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ab/>
      </w:r>
    </w:p>
    <w:p w14:paraId="64BD0EF4"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临床研究伦理初始审查申请表</w:t>
      </w: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41"/>
        <w:gridCol w:w="1612"/>
        <w:gridCol w:w="98"/>
        <w:gridCol w:w="1461"/>
        <w:gridCol w:w="4008"/>
      </w:tblGrid>
      <w:tr w14:paraId="3268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04D45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09452">
            <w:pPr>
              <w:rPr>
                <w:color w:val="000000"/>
                <w:szCs w:val="21"/>
              </w:rPr>
            </w:pPr>
          </w:p>
        </w:tc>
      </w:tr>
      <w:tr w14:paraId="4C64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1976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申办者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20335">
            <w:pPr>
              <w:ind w:left="-113" w:leftChars="-54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9D9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授权委托机构或</w:t>
            </w:r>
            <w:r>
              <w:rPr>
                <w:szCs w:val="21"/>
              </w:rPr>
              <w:t>CRO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28DFB">
            <w:pPr>
              <w:jc w:val="center"/>
              <w:rPr>
                <w:color w:val="000000"/>
                <w:szCs w:val="21"/>
              </w:rPr>
            </w:pPr>
          </w:p>
        </w:tc>
      </w:tr>
      <w:tr w14:paraId="5773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864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申请科室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ED0E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CA02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主要研究者姓名、职称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21FAB">
            <w:pPr>
              <w:jc w:val="center"/>
              <w:rPr>
                <w:color w:val="000000"/>
                <w:szCs w:val="21"/>
              </w:rPr>
            </w:pPr>
          </w:p>
        </w:tc>
      </w:tr>
      <w:tr w14:paraId="4452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F407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研究性质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FC1E7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纵向课题：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国家级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省级   </w:t>
            </w:r>
          </w:p>
          <w:p w14:paraId="52A6786C">
            <w:pPr>
              <w:ind w:firstLine="1260" w:firstLineChars="60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市级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</w:p>
          <w:p w14:paraId="4B639FFC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横向课题：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企业资质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行业学会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其他    </w:t>
            </w:r>
          </w:p>
          <w:p w14:paraId="3AF830AE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研究者自发开展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36D91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单中心研究 </w:t>
            </w:r>
          </w:p>
          <w:p w14:paraId="23B56CE1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多中心研究（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主持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参与  </w:t>
            </w:r>
          </w:p>
          <w:p w14:paraId="021AF67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组长单位：              ）</w:t>
            </w:r>
          </w:p>
        </w:tc>
      </w:tr>
      <w:tr w14:paraId="0F68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41AB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本中心承担例数/总例数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486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例/   例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76D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研究期限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D0741">
            <w:pPr>
              <w:ind w:firstLine="1470" w:firstLineChars="7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 -    年  月</w:t>
            </w:r>
          </w:p>
        </w:tc>
      </w:tr>
      <w:tr w14:paraId="67CF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EC7B5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联系人姓名、手机、电子邮箱</w:t>
            </w:r>
          </w:p>
        </w:tc>
        <w:tc>
          <w:tcPr>
            <w:tcW w:w="7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AEBD3F">
            <w:pPr>
              <w:rPr>
                <w:color w:val="000000"/>
                <w:szCs w:val="21"/>
              </w:rPr>
            </w:pPr>
          </w:p>
        </w:tc>
      </w:tr>
      <w:tr w14:paraId="2407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B58EC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设计类型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B7556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随机：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随机  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非随机</w:t>
            </w:r>
          </w:p>
          <w:p w14:paraId="5202D04E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对照：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安慰剂对照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标准对照（同类上市产品对照）</w:t>
            </w:r>
          </w:p>
          <w:p w14:paraId="0FA6B9AA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自身对照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历史对照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空白对照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</w:p>
          <w:p w14:paraId="3C2EE655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盲法：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开放  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单盲 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双盲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三盲</w:t>
            </w:r>
          </w:p>
          <w:p w14:paraId="61F00231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队列研究 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回顾性队列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前瞻性队列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双向队列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</w:p>
          <w:p w14:paraId="56C023A2">
            <w:pPr>
              <w:spacing w:line="360" w:lineRule="auto"/>
              <w:rPr>
                <w:rFonts w:ascii="黑体" w:hAnsi="黑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病例对照研究</w:t>
            </w:r>
            <w:r>
              <w:rPr>
                <w:rFonts w:hint="eastAsia"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现况调查</w:t>
            </w:r>
            <w:r>
              <w:rPr>
                <w:rFonts w:hint="eastAsia" w:asci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  <w:r>
              <w:rPr>
                <w:rFonts w:hint="eastAsia" w:ascii="宋体"/>
                <w:color w:val="000000"/>
                <w:szCs w:val="21"/>
              </w:rPr>
              <w:t xml:space="preserve">  </w:t>
            </w:r>
          </w:p>
        </w:tc>
      </w:tr>
      <w:tr w14:paraId="0FE3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1221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研究信息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8819B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研究是否需要使用人体生物标本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是（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采集生物标本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利用以往保存的生物标本）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44CCD32F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研究是否需要人类遗传资源或者人类遗传信息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3059907E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生物标本采集信息  （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血液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尿液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组织标本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其他，请说明：          ）</w:t>
            </w:r>
          </w:p>
          <w:p w14:paraId="4964695C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（采集生物标本的量：                                          ）</w:t>
            </w:r>
          </w:p>
          <w:p w14:paraId="3E2D1A10">
            <w:pPr>
              <w:spacing w:line="276" w:lineRule="auto"/>
              <w:ind w:left="5565" w:hanging="5565" w:hangingChars="26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研究干预超出产品说明书范围没有获得行政监管部门的批准 </w:t>
            </w:r>
          </w:p>
          <w:p w14:paraId="04151E2A">
            <w:pPr>
              <w:spacing w:line="276" w:lineRule="auto"/>
              <w:ind w:left="5565" w:hanging="5565" w:hangingChars="265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不适用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是（请填写以下选项）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5EAF5844">
            <w:pPr>
              <w:spacing w:line="276" w:lineRule="auto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研究结果是否用于注册或修改说明书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2E102AFD">
            <w:pPr>
              <w:spacing w:line="276" w:lineRule="auto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超出说明书使用该产品，是否显著增加了风险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36C4DBFF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针对试验风险，是否采取了风险防范控制措施？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7412D6DB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是否有独立的数据与安全监察委员会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6FECDAF7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是否给受试者带来直接受益？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是（请说明：         ）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367CE81B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是否带来社会受益？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</w:tc>
      </w:tr>
      <w:tr w14:paraId="6BD2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E905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知情同意</w:t>
            </w:r>
          </w:p>
          <w:p w14:paraId="213EA2C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过程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F6AC5">
            <w:pPr>
              <w:rPr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sym w:font="Webdings" w:char="F063"/>
            </w:r>
            <w:r>
              <w:rPr>
                <w:szCs w:val="21"/>
              </w:rPr>
              <w:t>口头告知+书面签署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/>
                <w:color w:val="000000"/>
                <w:szCs w:val="21"/>
              </w:rPr>
              <w:sym w:font="Webdings" w:char="F063"/>
            </w:r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</w:rPr>
              <w:t>阅读</w:t>
            </w:r>
            <w:r>
              <w:rPr>
                <w:szCs w:val="21"/>
              </w:rPr>
              <w:t xml:space="preserve">+口头告知      </w:t>
            </w:r>
            <w:r>
              <w:rPr>
                <w:rFonts w:ascii="宋体"/>
                <w:color w:val="000000"/>
                <w:szCs w:val="21"/>
              </w:rPr>
              <w:sym w:font="Webdings" w:char="F063"/>
            </w:r>
            <w:r>
              <w:rPr>
                <w:szCs w:val="21"/>
              </w:rPr>
              <w:t>豁免知情同意</w:t>
            </w:r>
          </w:p>
          <w:p w14:paraId="45B0851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是否用受试者能理解的非专业术语告知研究信息？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6D9E91B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是否按照法规指南告知参加研究的重要信息？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67EF48C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不会诱导或强制受试者参加？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</w:tc>
      </w:tr>
      <w:tr w14:paraId="4E92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EFE2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招募过程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A9E0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招募方式：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广告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个人联系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数据库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中介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其他：</w:t>
            </w:r>
          </w:p>
          <w:p w14:paraId="1D8187A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描述受试者招募程序：</w:t>
            </w:r>
          </w:p>
        </w:tc>
      </w:tr>
      <w:tr w14:paraId="3070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AF20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受试者及</w:t>
            </w:r>
          </w:p>
          <w:p w14:paraId="6E79103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年龄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4B29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受试者   ____ 岁～____ 岁</w:t>
            </w:r>
          </w:p>
          <w:p w14:paraId="55691CFC"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健康者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患者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弱势群体（说明额外的保护措施：                          ）          </w:t>
            </w:r>
          </w:p>
          <w:p w14:paraId="2115E8C6">
            <w:pPr>
              <w:ind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弱势群体的特征（选择弱势群体，填写该选项） </w:t>
            </w:r>
          </w:p>
          <w:p w14:paraId="1764FFA8"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儿童/未成年人   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认知障碍或因其他因素无能力做出知情同意的成人</w:t>
            </w:r>
          </w:p>
          <w:p w14:paraId="2D0E9FA5"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申办者/研究者的雇员或学生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教育/经济地位低下的人员</w:t>
            </w:r>
          </w:p>
          <w:p w14:paraId="36673D3F"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疾病终末期患者 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囚犯</w:t>
            </w:r>
          </w:p>
          <w:p w14:paraId="01A3AABB"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孕妇             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其他：</w:t>
            </w:r>
          </w:p>
        </w:tc>
      </w:tr>
      <w:tr w14:paraId="4A1B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061E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补偿信息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D90C3">
            <w:pPr>
              <w:ind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是否支付受试者交通费与其他补偿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是（请填写以下选项）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3927023D">
            <w:pPr>
              <w:ind w:firstLine="525" w:firstLineChars="250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 xml:space="preserve">交通费金额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每次随访     元/人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采血</w:t>
            </w:r>
            <w:r>
              <w:rPr>
                <w:color w:val="000000"/>
                <w:szCs w:val="21"/>
                <w:u w:val="single"/>
              </w:rPr>
              <w:t xml:space="preserve">  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 其他</w:t>
            </w:r>
          </w:p>
          <w:p w14:paraId="027FE480">
            <w:pPr>
              <w:ind w:firstLine="525" w:firstLineChars="2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支付方式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按随访观察时点分次支付 </w:t>
            </w:r>
          </w:p>
          <w:p w14:paraId="2F3B2EE7">
            <w:pPr>
              <w:ind w:firstLine="1680" w:firstLineChars="80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完成全部随访观察后支付</w:t>
            </w:r>
          </w:p>
          <w:p w14:paraId="6E326256">
            <w:pPr>
              <w:ind w:firstLine="1680" w:firstLineChars="800"/>
              <w:rPr>
                <w:color w:val="000000"/>
                <w:szCs w:val="21"/>
                <w:u w:val="single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</w:p>
        </w:tc>
      </w:tr>
      <w:tr w14:paraId="4F92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198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隐私与保密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C44CE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试验是否采集隐私信息？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是（请说明哪些隐私信息：                ）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7B46276C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在试验中及试验后，谁有权获得原始数据或研究记录？</w:t>
            </w:r>
          </w:p>
          <w:p w14:paraId="403A705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试验完成后，如何处理原始数据？</w:t>
            </w:r>
          </w:p>
          <w:p w14:paraId="3530636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为保护受试者个人隐私和权利，研究者是否保证在论文报告中不公开受试者姓名等可识别身份信息？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</w:tc>
      </w:tr>
      <w:tr w14:paraId="6A8B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D27D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人类遗传</w:t>
            </w:r>
          </w:p>
          <w:p w14:paraId="1E89DF42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资源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1D6B85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</w:t>
            </w:r>
            <w:r>
              <w:rPr>
                <w:rFonts w:ascii="宋体"/>
                <w:color w:val="000000"/>
                <w:szCs w:val="21"/>
              </w:rPr>
              <w:t xml:space="preserve">重要遗传家系   </w:t>
            </w:r>
            <w:r>
              <w:rPr>
                <w:rFonts w:hint="eastAsia" w:ascii="宋体"/>
                <w:color w:val="000000"/>
                <w:szCs w:val="21"/>
              </w:rPr>
              <w:t>□</w:t>
            </w:r>
            <w:r>
              <w:rPr>
                <w:rFonts w:ascii="宋体"/>
                <w:color w:val="000000"/>
                <w:szCs w:val="21"/>
              </w:rPr>
              <w:t xml:space="preserve">特定地区人类遗传资源   </w:t>
            </w:r>
            <w:r>
              <w:rPr>
                <w:rFonts w:hint="eastAsia" w:ascii="宋体"/>
                <w:color w:val="000000"/>
                <w:szCs w:val="21"/>
              </w:rPr>
              <w:t>□</w:t>
            </w:r>
            <w:r>
              <w:rPr>
                <w:rFonts w:ascii="宋体"/>
                <w:color w:val="000000"/>
                <w:szCs w:val="21"/>
              </w:rPr>
              <w:t>罕见病</w:t>
            </w:r>
          </w:p>
          <w:p w14:paraId="1F552362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</w:t>
            </w:r>
            <w:r>
              <w:rPr>
                <w:rFonts w:ascii="宋体"/>
                <w:color w:val="000000"/>
                <w:szCs w:val="21"/>
              </w:rPr>
              <w:t>具有显著性差异的特殊体质或生理卫生特征的人群</w:t>
            </w:r>
          </w:p>
          <w:p w14:paraId="757FA80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人遗资源：材料名称及量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宋体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ascii="宋体"/>
                <w:color w:val="000000"/>
                <w:szCs w:val="21"/>
              </w:rPr>
              <w:t xml:space="preserve">     </w:t>
            </w:r>
          </w:p>
          <w:p w14:paraId="387718B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 xml:space="preserve">          信息数据名称及量</w:t>
            </w:r>
            <w:r>
              <w:rPr>
                <w:color w:val="000000"/>
                <w:szCs w:val="21"/>
                <w:u w:val="single"/>
              </w:rPr>
              <w:t xml:space="preserve">                    </w:t>
            </w:r>
            <w:r>
              <w:rPr>
                <w:rFonts w:ascii="宋体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  <w:u w:val="single"/>
              </w:rPr>
              <w:t xml:space="preserve">               </w:t>
            </w:r>
          </w:p>
        </w:tc>
      </w:tr>
      <w:tr w14:paraId="5B0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45CE7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b/>
                <w:bCs/>
                <w:szCs w:val="21"/>
              </w:rPr>
              <w:t>其他医疗机构</w:t>
            </w:r>
          </w:p>
        </w:tc>
      </w:tr>
      <w:tr w14:paraId="50B1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D7C5F"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机构名称：                                                     角色：</w:t>
            </w:r>
            <w:r>
              <w:rPr>
                <w:szCs w:val="21"/>
              </w:rPr>
              <w:sym w:font="Webdings" w:char="F063"/>
            </w:r>
            <w:r>
              <w:rPr>
                <w:szCs w:val="21"/>
              </w:rPr>
              <w:t>组长</w:t>
            </w:r>
          </w:p>
          <w:p w14:paraId="491A8B25">
            <w:pPr>
              <w:spacing w:line="340" w:lineRule="exact"/>
              <w:rPr>
                <w:b/>
                <w:bCs/>
                <w:szCs w:val="21"/>
              </w:rPr>
            </w:pPr>
            <w:r>
              <w:rPr>
                <w:szCs w:val="21"/>
              </w:rPr>
              <w:t>机构名称：                                                     角色：</w:t>
            </w:r>
            <w:r>
              <w:rPr>
                <w:szCs w:val="21"/>
              </w:rPr>
              <w:sym w:font="Webdings" w:char="F063"/>
            </w:r>
            <w:r>
              <w:rPr>
                <w:szCs w:val="21"/>
              </w:rPr>
              <w:t>参与</w:t>
            </w:r>
          </w:p>
        </w:tc>
      </w:tr>
      <w:tr w14:paraId="4C91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4AEF0">
            <w:pPr>
              <w:spacing w:line="340" w:lineRule="exact"/>
              <w:ind w:right="-71" w:rightChars="-34"/>
              <w:jc w:val="left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相关学科专业组或部门</w:t>
            </w:r>
          </w:p>
        </w:tc>
      </w:tr>
      <w:tr w14:paraId="7623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6E841">
            <w:pPr>
              <w:spacing w:line="340" w:lineRule="exact"/>
              <w:ind w:right="-71" w:rightChars="-34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学科专业组或部门名称：                         负责人及职称：</w:t>
            </w:r>
            <w:bookmarkStart w:id="0" w:name="_GoBack"/>
            <w:bookmarkEnd w:id="0"/>
          </w:p>
        </w:tc>
      </w:tr>
      <w:tr w14:paraId="217D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54918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主要研究者：                                                   日期：</w:t>
            </w:r>
          </w:p>
        </w:tc>
      </w:tr>
      <w:tr w14:paraId="599C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2CAE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科室负责人：                                                   日期：</w:t>
            </w:r>
          </w:p>
        </w:tc>
      </w:tr>
      <w:tr w14:paraId="6120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3CEE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伦理委员会受理人（签名）：                                      日期：</w:t>
            </w:r>
          </w:p>
        </w:tc>
      </w:tr>
    </w:tbl>
    <w:p w14:paraId="454DE5B3">
      <w:pPr>
        <w:tabs>
          <w:tab w:val="left" w:pos="2210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D17D3">
    <w:pPr>
      <w:spacing w:line="172" w:lineRule="auto"/>
      <w:ind w:firstLine="8820" w:firstLineChars="4900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8994">
    <w:pPr>
      <w:pStyle w:val="5"/>
    </w:pPr>
  </w:p>
  <w:p w14:paraId="366FD030">
    <w:pPr>
      <w:pStyle w:val="5"/>
    </w:pPr>
  </w:p>
  <w:p w14:paraId="7294C18D">
    <w:pPr>
      <w:pStyle w:val="5"/>
    </w:pPr>
  </w:p>
  <w:p w14:paraId="14ACC436">
    <w:pPr>
      <w:pStyle w:val="5"/>
      <w:rPr>
        <w:rFonts w:hint="default" w:eastAsia="宋体"/>
        <w:lang w:val="en-US" w:eastAsia="zh-CN"/>
      </w:rPr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</w:t>
    </w:r>
    <w:r>
      <w:rPr>
        <w:rFonts w:hint="eastAsia"/>
      </w:rPr>
      <w:t xml:space="preserve"> </w:t>
    </w:r>
    <w:r>
      <w:rPr>
        <w:rFonts w:hint="eastAsia"/>
        <w:b/>
        <w:bCs/>
        <w:sz w:val="21"/>
        <w:szCs w:val="21"/>
        <w:lang w:val="en-US" w:eastAsia="zh-CN"/>
      </w:rPr>
      <w:t>科技伦理</w:t>
    </w:r>
    <w:r>
      <w:rPr>
        <w:rFonts w:hint="eastAsia"/>
        <w:b/>
        <w:bCs/>
        <w:sz w:val="21"/>
        <w:szCs w:val="21"/>
      </w:rPr>
      <w:t>委员会</w:t>
    </w:r>
  </w:p>
  <w:p w14:paraId="2B3AF6A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NjgxZWYxYmJmNGQ2ODdlMzdiYTdlMDg3OTY5NGUifQ=="/>
  </w:docVars>
  <w:rsids>
    <w:rsidRoot w:val="00000000"/>
    <w:rsid w:val="084A1910"/>
    <w:rsid w:val="0A0F0072"/>
    <w:rsid w:val="106612B1"/>
    <w:rsid w:val="17DC6884"/>
    <w:rsid w:val="1A806D1F"/>
    <w:rsid w:val="32254091"/>
    <w:rsid w:val="32847649"/>
    <w:rsid w:val="32F967EA"/>
    <w:rsid w:val="3421711A"/>
    <w:rsid w:val="342804A8"/>
    <w:rsid w:val="361D70B8"/>
    <w:rsid w:val="39047525"/>
    <w:rsid w:val="3ECF4342"/>
    <w:rsid w:val="5DE60909"/>
    <w:rsid w:val="61382CA2"/>
    <w:rsid w:val="70AB3A18"/>
    <w:rsid w:val="7569664A"/>
    <w:rsid w:val="76D35A76"/>
    <w:rsid w:val="77E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1185</Characters>
  <Lines>0</Lines>
  <Paragraphs>0</Paragraphs>
  <TotalTime>0</TotalTime>
  <ScaleCrop>false</ScaleCrop>
  <LinksUpToDate>false</LinksUpToDate>
  <CharactersWithSpaces>1895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2024-11-20T06:36:00Z</dcterms:created>
  <dc:creator>sdyy</dc:creator>
  <cp:lastModifiedBy>WPS_1705891325</cp:lastModifiedBy>
  <dcterms:modified xsi:type="dcterms:W3CDTF">2025-04-14T09:27:41Z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A05BC57E59744FC1A4BF8E14E808EA62_12</vt:lpwstr>
  </property>
  <property fmtid="{D5CDD505-2E9C-101B-9397-08002B2CF9AE}" pid="4" name="KSOTemplateDocerSaveRecord">
    <vt:lpwstr>eyJoZGlkIjoiMmQ5NjgxZWYxYmJmNGQ2ODdlMzdiYTdlMDg3OTY5NGUiLCJ1c2VySWQiOiIxNTc2NTc0MjY4In0=</vt:lpwstr>
  </property>
</Properties>
</file>