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1C4E6">
      <w:pPr>
        <w:jc w:val="center"/>
        <w:rPr>
          <w:rFonts w:hint="eastAsia" w:ascii="微软雅黑" w:hAnsi="微软雅黑" w:eastAsia="微软雅黑" w:cs="微软雅黑"/>
          <w:b/>
          <w:bCs w:val="0"/>
          <w:sz w:val="48"/>
          <w:szCs w:val="48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sz w:val="48"/>
          <w:szCs w:val="48"/>
          <w:highlight w:val="none"/>
          <w:lang w:eastAsia="zh-CN"/>
        </w:rPr>
        <w:t>采购</w:t>
      </w:r>
      <w:r>
        <w:rPr>
          <w:rFonts w:hint="eastAsia" w:ascii="微软雅黑" w:hAnsi="微软雅黑" w:eastAsia="微软雅黑" w:cs="微软雅黑"/>
          <w:b/>
          <w:bCs w:val="0"/>
          <w:sz w:val="48"/>
          <w:szCs w:val="48"/>
          <w:highlight w:val="none"/>
          <w:lang w:val="en-US" w:eastAsia="zh-CN"/>
        </w:rPr>
        <w:t>文件</w:t>
      </w:r>
    </w:p>
    <w:p w14:paraId="3FF5CA9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bookmarkStart w:id="0" w:name="_Toc62140294"/>
      <w:bookmarkStart w:id="1" w:name="_Toc62142010"/>
      <w:bookmarkStart w:id="2" w:name="_Toc62141001"/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第一章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项目信息</w:t>
      </w:r>
      <w:bookmarkEnd w:id="0"/>
      <w:bookmarkEnd w:id="1"/>
      <w:bookmarkEnd w:id="2"/>
    </w:p>
    <w:p w14:paraId="752BF11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color w:val="222222"/>
          <w:kern w:val="0"/>
          <w:sz w:val="28"/>
          <w:szCs w:val="28"/>
        </w:rPr>
        <w:t>项目名称：</w:t>
      </w:r>
      <w:r>
        <w:rPr>
          <w:rFonts w:hint="eastAsia" w:ascii="黑体" w:hAnsi="黑体" w:eastAsia="黑体" w:cs="宋体"/>
          <w:color w:val="22222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宋体"/>
          <w:color w:val="222222"/>
          <w:kern w:val="0"/>
          <w:sz w:val="28"/>
          <w:szCs w:val="28"/>
        </w:rPr>
        <w:t>医用冷藏箱</w:t>
      </w:r>
    </w:p>
    <w:p w14:paraId="381D0BC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222222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222222"/>
          <w:kern w:val="0"/>
          <w:sz w:val="28"/>
          <w:szCs w:val="28"/>
        </w:rPr>
        <w:t xml:space="preserve">项目类型： </w:t>
      </w:r>
      <w:r>
        <w:rPr>
          <w:rFonts w:hint="eastAsia" w:ascii="黑体" w:hAnsi="黑体" w:eastAsia="黑体" w:cs="宋体"/>
          <w:color w:val="222222"/>
          <w:kern w:val="0"/>
          <w:sz w:val="28"/>
          <w:szCs w:val="28"/>
          <w:lang w:eastAsia="zh-CN"/>
        </w:rPr>
        <w:t>☑</w:t>
      </w:r>
      <w:r>
        <w:rPr>
          <w:rFonts w:hint="eastAsia" w:ascii="黑体" w:hAnsi="黑体" w:eastAsia="黑体" w:cs="宋体"/>
          <w:color w:val="222222"/>
          <w:kern w:val="0"/>
          <w:sz w:val="28"/>
          <w:szCs w:val="28"/>
        </w:rPr>
        <w:t xml:space="preserve">货物    </w:t>
      </w:r>
      <w:r>
        <w:rPr>
          <w:rFonts w:hint="eastAsia" w:ascii="黑体" w:hAnsi="黑体" w:eastAsia="黑体" w:cs="宋体"/>
          <w:color w:val="222222"/>
          <w:kern w:val="0"/>
          <w:sz w:val="28"/>
          <w:szCs w:val="28"/>
          <w:lang w:eastAsia="zh-CN"/>
        </w:rPr>
        <w:t>□</w:t>
      </w:r>
      <w:r>
        <w:rPr>
          <w:rFonts w:hint="eastAsia" w:ascii="黑体" w:hAnsi="黑体" w:eastAsia="黑体" w:cs="宋体"/>
          <w:color w:val="222222"/>
          <w:kern w:val="0"/>
          <w:sz w:val="28"/>
          <w:szCs w:val="28"/>
        </w:rPr>
        <w:t xml:space="preserve">服务   </w:t>
      </w:r>
      <w:r>
        <w:rPr>
          <w:rFonts w:hint="eastAsia" w:ascii="黑体" w:hAnsi="黑体" w:eastAsia="黑体" w:cs="宋体"/>
          <w:color w:val="22222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宋体"/>
          <w:color w:val="222222"/>
          <w:kern w:val="0"/>
          <w:sz w:val="28"/>
          <w:szCs w:val="28"/>
        </w:rPr>
        <w:t>□工程</w:t>
      </w:r>
    </w:p>
    <w:p w14:paraId="30408E0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222222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color w:val="222222"/>
          <w:kern w:val="0"/>
          <w:sz w:val="28"/>
          <w:szCs w:val="28"/>
        </w:rPr>
        <w:t>采购方式：  询价</w:t>
      </w:r>
    </w:p>
    <w:p w14:paraId="3F904CB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color w:val="222222"/>
          <w:kern w:val="0"/>
          <w:sz w:val="28"/>
          <w:szCs w:val="28"/>
        </w:rPr>
        <w:t>货币类型：</w:t>
      </w:r>
      <w:r>
        <w:rPr>
          <w:rFonts w:hint="eastAsia" w:ascii="黑体" w:hAnsi="黑体" w:eastAsia="黑体" w:cs="宋体"/>
          <w:color w:val="22222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宋体"/>
          <w:color w:val="222222"/>
          <w:kern w:val="0"/>
          <w:sz w:val="28"/>
          <w:szCs w:val="28"/>
        </w:rPr>
        <w:t>人民币</w:t>
      </w:r>
      <w:r>
        <w:rPr>
          <w:rFonts w:hint="eastAsia" w:ascii="黑体" w:hAnsi="黑体" w:eastAsia="黑体" w:cs="宋体"/>
          <w:color w:val="222222"/>
          <w:kern w:val="0"/>
          <w:sz w:val="28"/>
          <w:szCs w:val="28"/>
          <w:lang w:val="en-US" w:eastAsia="zh-CN"/>
        </w:rPr>
        <w:t xml:space="preserve"> </w:t>
      </w:r>
    </w:p>
    <w:p w14:paraId="3DB7CE4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60A2AB9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第二章 自行采购询价公告</w:t>
      </w:r>
    </w:p>
    <w:p w14:paraId="07AC29C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color w:val="222222"/>
          <w:kern w:val="0"/>
          <w:sz w:val="28"/>
          <w:szCs w:val="28"/>
          <w:lang w:val="en-US" w:eastAsia="zh-CN"/>
        </w:rPr>
        <w:t>根据《深圳大学总医院采购管理办法》的有关规定，深圳大学总医院就</w:t>
      </w:r>
      <w:r>
        <w:rPr>
          <w:rFonts w:hint="eastAsia" w:ascii="黑体" w:hAnsi="黑体" w:eastAsia="黑体" w:cs="宋体"/>
          <w:color w:val="222222"/>
          <w:kern w:val="0"/>
          <w:sz w:val="28"/>
          <w:szCs w:val="28"/>
        </w:rPr>
        <w:t>医用冷藏箱</w:t>
      </w:r>
      <w:r>
        <w:rPr>
          <w:rFonts w:hint="eastAsia" w:ascii="黑体" w:hAnsi="黑体" w:eastAsia="黑体" w:cs="宋体"/>
          <w:color w:val="222222"/>
          <w:kern w:val="0"/>
          <w:sz w:val="28"/>
          <w:szCs w:val="28"/>
          <w:lang w:val="en-US" w:eastAsia="zh-CN"/>
        </w:rPr>
        <w:t>项目，进行公开询价，欢迎符合资格的供应商参加。</w:t>
      </w:r>
    </w:p>
    <w:p w14:paraId="75DAFFF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一、项目采购要求：</w:t>
      </w:r>
    </w:p>
    <w:p w14:paraId="13320C8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color w:val="222222"/>
          <w:kern w:val="0"/>
          <w:sz w:val="28"/>
          <w:szCs w:val="28"/>
          <w:lang w:val="en-US" w:eastAsia="zh-CN"/>
        </w:rPr>
        <w:t>具体要求请下载附件《采购文件》。</w:t>
      </w:r>
    </w:p>
    <w:p w14:paraId="06F7DCD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</w:p>
    <w:p w14:paraId="557FE73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二、投标人资质要求：</w:t>
      </w:r>
    </w:p>
    <w:p w14:paraId="439C89B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color w:val="222222"/>
          <w:kern w:val="0"/>
          <w:sz w:val="28"/>
          <w:szCs w:val="28"/>
          <w:lang w:val="en-US" w:eastAsia="zh-CN"/>
        </w:rPr>
        <w:t>具有独立法人资格或具有独立承担民事责任的能力的其它组织（提供营业执照或事业单位法人证等法人证明扫描件，原件备查）。</w:t>
      </w:r>
    </w:p>
    <w:p w14:paraId="344C799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51ED0BB4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采购预算或最高限价：</w:t>
      </w:r>
    </w:p>
    <w:p w14:paraId="4CF669B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5000元（人民币）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。</w:t>
      </w:r>
    </w:p>
    <w:p w14:paraId="3DE3DB4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4648888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四、提交资料要求：</w:t>
      </w:r>
    </w:p>
    <w:p w14:paraId="7A4745E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（一）加盖供应商公章的报价单扫描件；</w:t>
      </w:r>
    </w:p>
    <w:p w14:paraId="77E2375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（二）加盖供应商公章的营业执照或事业单位法人证等法人证明扫描件；</w:t>
      </w:r>
    </w:p>
    <w:p w14:paraId="050FFB5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（三）其他供应商认为需要提供的资料扫描件。</w:t>
      </w:r>
    </w:p>
    <w:p w14:paraId="740A8AA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62CCE26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五、报名方式： </w:t>
      </w:r>
    </w:p>
    <w:p w14:paraId="1112146A">
      <w:pPr>
        <w:widowControl/>
        <w:spacing w:line="560" w:lineRule="atLeast"/>
        <w:ind w:right="580"/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网上报名。将上述提交资料扫描件发送至邮箱：</w:t>
      </w:r>
      <w:r>
        <w:rPr>
          <w:rFonts w:hint="eastAsia" w:ascii="黑体" w:hAnsi="黑体" w:eastAsia="黑体" w:cs="黑体"/>
          <w:color w:val="222222"/>
          <w:sz w:val="28"/>
          <w:szCs w:val="28"/>
          <w:shd w:val="clear" w:color="auto" w:fill="FFFFFF"/>
        </w:rPr>
        <w:t>sughbme@szu.edu.cn</w:t>
      </w:r>
      <w:bookmarkStart w:id="3" w:name="PO_conclusionTable"/>
      <w:bookmarkEnd w:id="3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</w:p>
    <w:p w14:paraId="442E860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69BC0F1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六、报名截止时间：</w:t>
      </w:r>
    </w:p>
    <w:p w14:paraId="298727B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2024年8月2日17:00。</w:t>
      </w:r>
    </w:p>
    <w:p w14:paraId="0086176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4" w:name="_GoBack"/>
      <w:bookmarkEnd w:id="4"/>
    </w:p>
    <w:p w14:paraId="4A16DE7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七、联系人及联系方式</w:t>
      </w:r>
    </w:p>
    <w:p w14:paraId="7B1939C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采购负责人 单位名称：深圳大学总医院 医学工程部</w:t>
      </w:r>
    </w:p>
    <w:p w14:paraId="478B489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联系人： 邹老师    电话：0755-21839909</w:t>
      </w:r>
    </w:p>
    <w:p w14:paraId="095B290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52B573A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第三章 项目需求</w:t>
      </w:r>
    </w:p>
    <w:p w14:paraId="0B7F00D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一、采购清单</w:t>
      </w:r>
    </w:p>
    <w:p w14:paraId="43AF35E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货物名称：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医用冷藏箱</w:t>
      </w:r>
    </w:p>
    <w:p w14:paraId="744D920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型号：海尔HYC-220S</w:t>
      </w:r>
    </w:p>
    <w:p w14:paraId="27F727B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数量：1台</w:t>
      </w:r>
    </w:p>
    <w:p w14:paraId="535AF4B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关键技术指标：</w:t>
      </w:r>
    </w:p>
    <w:p w14:paraId="1B0F1DD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1、有效容积：箱内有效容积≥220L；外部尺寸≤600*600*1516mm 内部尺寸≥508*500*962mm；</w:t>
      </w:r>
    </w:p>
    <w:p w14:paraId="30D2C0A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2、温度控制:电子温控器控制，数字显示箱内温度，温湿度显示精度0.1℃。出厂预设5℃，使箱内温度恒定控制在2℃~8℃范围内，调整增量为0.1℃；</w:t>
      </w:r>
    </w:p>
    <w:p w14:paraId="2B92419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3、整体结构：立式，电加热玻璃门，采用LBA无氟发泡，真正完全绿色环</w:t>
      </w:r>
    </w:p>
    <w:p w14:paraId="23C7EFC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保，外壳采用喷涂钢板，内胆采用PS板，有效防菌防腐；</w:t>
      </w:r>
    </w:p>
    <w:p w14:paraId="3CF7247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4、核心组件：采用名牌压缩机及品牌风机，碳氢制冷剂，节能环保，质</w:t>
      </w:r>
    </w:p>
    <w:p w14:paraId="10D2EAA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量可靠、性能稳定、使用寿命长；并提供组件铭牌证明；</w:t>
      </w:r>
    </w:p>
    <w:p w14:paraId="6787B75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5、制冷系统：采用吹胀式蒸发器设计，制冷速度快，丝管式冷凝器设计，散热效果好；</w:t>
      </w:r>
    </w:p>
    <w:p w14:paraId="205C49B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6、温度均匀性：采用高性能保温材料，保温效果好，风冷系统，保证箱体温度均匀度≤3℃；</w:t>
      </w:r>
    </w:p>
    <w:p w14:paraId="47CDBBB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7、控温技术：搭配高精度2路传感器设计，包括显示传感器，控制传感器；</w:t>
      </w:r>
    </w:p>
    <w:p w14:paraId="1571166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8、门体结构：门体双层钢化玻璃，采用电极式加热防凝露设计，32℃环温85%湿度下门体无凝露，箱内物品清晰可见；</w:t>
      </w:r>
    </w:p>
    <w:p w14:paraId="59952AA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9、安全系统：多重故障报警，具有蜂鸣报警、灯光闪烁，可实现高低温报警、传感器故障报警；</w:t>
      </w:r>
    </w:p>
    <w:p w14:paraId="26C5E31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10、数据存储：选配数据存储模块，每6分钟记录一次数据，可通过前置的USB接口读取，插入U盘导出冰箱使用期间所有数据，数据可导出图表格式，温度数据可存储十年，实现温度数据的可追溯性；</w:t>
      </w:r>
    </w:p>
    <w:p w14:paraId="3DE9A5B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11、温度监控：产品配有1个测试孔，方便客户接入各式设备，对箱内温度进行监测；</w:t>
      </w:r>
    </w:p>
    <w:p w14:paraId="7E37964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12、箱内配置：多层搁架设计，搁架间距可调，充分利用箱内空间；出厂标配4个搁架，数量可根据用户需求增加； </w:t>
      </w:r>
    </w:p>
    <w:p w14:paraId="23BC655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13、柜内照明：内设LED照明灯，高亮节能，柜内试剂一目了然；</w:t>
      </w:r>
    </w:p>
    <w:p w14:paraId="2C89D09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14、冷凝蒸发：冷凝水汇集后自动蒸发，免除人工处理冷凝水的烦恼；</w:t>
      </w:r>
    </w:p>
    <w:p w14:paraId="5A94D18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15、安全保障：门体带暗锁，且左下角有可加挂锁的锁扣，用户可自行增加挂锁，增加储存物品的安全性,可实现双人双锁。</w:t>
      </w:r>
    </w:p>
    <w:p w14:paraId="2022CB7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p w14:paraId="6ACED4F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二、商务要求</w:t>
      </w:r>
    </w:p>
    <w:p w14:paraId="15204ED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（一）付款方式：送货到指定地点、验收合格并提供全额发票后，经审批流程后支付100%货款</w:t>
      </w:r>
    </w:p>
    <w:p w14:paraId="42D563B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（二）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关于交货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/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服务期限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/工期要求：签订合同后7天内</w:t>
      </w:r>
    </w:p>
    <w:p w14:paraId="6A2F9C0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（三）关于验收：</w:t>
      </w:r>
    </w:p>
    <w:p w14:paraId="465AC6E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3.1 投标人货物经过双方检验认可后，签署验收报告，产品保修期自验收合格之日起算，由投标人提供产品保修文件。</w:t>
      </w:r>
    </w:p>
    <w:p w14:paraId="7163725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3.2 当满足以下条件时，采购人才向中标人签发货物验收报告：</w:t>
      </w:r>
    </w:p>
    <w:p w14:paraId="41F5AB8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a、中标人已按照合同规定提供了全部产品及完整的技术资料，其中技术资料包括但不限于货物配置清单、产品说明书、图纸、操作手册、维护手册（含维修密码及接口数据）、质量保证文件、服务指南等，所有外文资料须提供中文译本。</w:t>
      </w:r>
    </w:p>
    <w:p w14:paraId="01680D6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b、货物符合招标文件技术规格书的要求，性能满足要求。</w:t>
      </w:r>
    </w:p>
    <w:p w14:paraId="20FFD33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c、货物具备产品合格证。</w:t>
      </w:r>
    </w:p>
    <w:p w14:paraId="520B47F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d、货物如需计量检定的应提供相关计量检定部门出具的合法检定报告。</w:t>
      </w:r>
    </w:p>
    <w:p w14:paraId="4D201F7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e、进口货物必须具有报关证明文件、原产地证明和商检合格证明文件。</w:t>
      </w:r>
    </w:p>
    <w:p w14:paraId="467C613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f、投标人负责将货物安全无损运抵采购人指定地点，并承担包括但不限于货物的包装、运输、保险、装卸、安装调试、培训、商检及计量检测、关税、增值税和进口代理等费用。</w:t>
      </w:r>
    </w:p>
    <w:p w14:paraId="4F35FF8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g、货物安装调试完毕，能正常运行。</w:t>
      </w:r>
    </w:p>
    <w:p w14:paraId="1BBAD1EC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（四）关于违约：</w:t>
      </w:r>
    </w:p>
    <w:p w14:paraId="14346D1C">
      <w:pPr>
        <w:adjustRightInd w:val="0"/>
        <w:snapToGrid w:val="0"/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4"/>
          <w:lang w:eastAsia="zh-CN"/>
        </w:rPr>
      </w:pPr>
      <w:r>
        <w:rPr>
          <w:rFonts w:hint="eastAsia" w:ascii="黑体" w:hAnsi="黑体" w:eastAsia="黑体" w:cs="黑体"/>
          <w:sz w:val="28"/>
          <w:szCs w:val="24"/>
          <w:lang w:eastAsia="zh-CN"/>
        </w:rPr>
        <w:t>1．供需双方均应全面履行合同，任何一方未能按照合同的约定履行自己的义务，应当承担违约责任。违约方应当赔偿守约方因此遭受的损失，包括但不限于守约方的直接经济损失、间接经济损失、守约方为追究违约责任所发生的律师费、差旅费、交通费等。</w:t>
      </w:r>
    </w:p>
    <w:p w14:paraId="61A2EDD1">
      <w:pPr>
        <w:adjustRightInd w:val="0"/>
        <w:snapToGrid w:val="0"/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4"/>
          <w:lang w:eastAsia="zh-CN"/>
        </w:rPr>
      </w:pPr>
      <w:r>
        <w:rPr>
          <w:rFonts w:hint="eastAsia" w:ascii="黑体" w:hAnsi="黑体" w:eastAsia="黑体" w:cs="黑体"/>
          <w:sz w:val="28"/>
          <w:szCs w:val="24"/>
          <w:lang w:eastAsia="zh-CN"/>
        </w:rPr>
        <w:t>2．供方无正当理由延迟交货，需方有权提出违约损失赔偿或解除合同。在履行合同过程中，如果供方遇到不能按时交货和提供服务的情况，应及时以书面形式将不能按时交货的理由、预期延误时间通知需方。需方收到供方通知后，认为理由正当的，可酌情延长交货时间。</w:t>
      </w:r>
    </w:p>
    <w:p w14:paraId="09D6B966"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/>
          <w:sz w:val="24"/>
          <w:lang w:eastAsia="zh-CN"/>
        </w:rPr>
      </w:pPr>
      <w:r>
        <w:rPr>
          <w:rFonts w:hint="eastAsia" w:ascii="黑体" w:hAnsi="黑体" w:eastAsia="黑体" w:cs="黑体"/>
          <w:sz w:val="28"/>
          <w:szCs w:val="24"/>
          <w:lang w:eastAsia="zh-CN"/>
        </w:rPr>
        <w:t>3．如果供方未按合同的约定时间交货或提供现场安装、调试或保修等服务，需方可要求供方支付违约金。违约金按每周延迟交货或提供服务的合同采购价格的0.5%计算，违约金的最高限额为合同价格的5%，如果累积达到最高限额，需方有权解除合同。需方已经支付货款的，供方出现上述违约行为，需方有权要求供方退还已经收到的货款。一周按7天算，不足7天按一周算。</w:t>
      </w:r>
    </w:p>
    <w:p w14:paraId="41F1DA4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br w:type="textWrapping"/>
      </w:r>
    </w:p>
    <w:p w14:paraId="56BB168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70C0"/>
          <w:sz w:val="28"/>
          <w:szCs w:val="28"/>
        </w:rPr>
      </w:pPr>
    </w:p>
    <w:p w14:paraId="59E9E81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</w:p>
    <w:p w14:paraId="12408ED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3" w:bottom="1440" w:left="108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C98AB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8164C3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8164C3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CEB6E">
    <w:pPr>
      <w:pStyle w:val="9"/>
      <w:jc w:val="right"/>
    </w:pPr>
    <w:r>
      <w:rPr>
        <w:rFonts w:hint="eastAsia"/>
      </w:rPr>
      <w:t>职能部门自行采购项目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EDB411"/>
    <w:multiLevelType w:val="singleLevel"/>
    <w:tmpl w:val="F7EDB41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Zjk0MzNjNTIzMTI1ZGQ2ZmVkNmMyZjg1NDZkYWMifQ=="/>
  </w:docVars>
  <w:rsids>
    <w:rsidRoot w:val="00FA6CEF"/>
    <w:rsid w:val="00033B46"/>
    <w:rsid w:val="000A0DFA"/>
    <w:rsid w:val="000C26F0"/>
    <w:rsid w:val="000C6E48"/>
    <w:rsid w:val="000D029C"/>
    <w:rsid w:val="000D451D"/>
    <w:rsid w:val="000D715B"/>
    <w:rsid w:val="000E2926"/>
    <w:rsid w:val="00104B88"/>
    <w:rsid w:val="00121988"/>
    <w:rsid w:val="001350ED"/>
    <w:rsid w:val="0019573E"/>
    <w:rsid w:val="001C57DA"/>
    <w:rsid w:val="00206367"/>
    <w:rsid w:val="002F6161"/>
    <w:rsid w:val="00301199"/>
    <w:rsid w:val="003360A3"/>
    <w:rsid w:val="00352B5E"/>
    <w:rsid w:val="00380D24"/>
    <w:rsid w:val="00390BF0"/>
    <w:rsid w:val="003C4218"/>
    <w:rsid w:val="003D2C24"/>
    <w:rsid w:val="00402A2C"/>
    <w:rsid w:val="004316E3"/>
    <w:rsid w:val="004449EB"/>
    <w:rsid w:val="00491A5F"/>
    <w:rsid w:val="004B45D8"/>
    <w:rsid w:val="004E5E46"/>
    <w:rsid w:val="00541784"/>
    <w:rsid w:val="005A2669"/>
    <w:rsid w:val="005B629D"/>
    <w:rsid w:val="0060331C"/>
    <w:rsid w:val="006C792F"/>
    <w:rsid w:val="0070348E"/>
    <w:rsid w:val="00735F0F"/>
    <w:rsid w:val="007D1C9B"/>
    <w:rsid w:val="007E0C0E"/>
    <w:rsid w:val="007F378F"/>
    <w:rsid w:val="008557F4"/>
    <w:rsid w:val="00863CD9"/>
    <w:rsid w:val="008720DA"/>
    <w:rsid w:val="00893516"/>
    <w:rsid w:val="008B7860"/>
    <w:rsid w:val="008C5904"/>
    <w:rsid w:val="00903808"/>
    <w:rsid w:val="00935C48"/>
    <w:rsid w:val="00957AE9"/>
    <w:rsid w:val="009718E3"/>
    <w:rsid w:val="00972795"/>
    <w:rsid w:val="0099499D"/>
    <w:rsid w:val="009B1E2A"/>
    <w:rsid w:val="009B2895"/>
    <w:rsid w:val="009B4491"/>
    <w:rsid w:val="00A0145A"/>
    <w:rsid w:val="00A70232"/>
    <w:rsid w:val="00A76FF9"/>
    <w:rsid w:val="00AB205C"/>
    <w:rsid w:val="00AD44E9"/>
    <w:rsid w:val="00AE6E7E"/>
    <w:rsid w:val="00B5120A"/>
    <w:rsid w:val="00B613AA"/>
    <w:rsid w:val="00B966AE"/>
    <w:rsid w:val="00BB6F92"/>
    <w:rsid w:val="00C05691"/>
    <w:rsid w:val="00C16F2B"/>
    <w:rsid w:val="00C276C6"/>
    <w:rsid w:val="00C47B4D"/>
    <w:rsid w:val="00C51730"/>
    <w:rsid w:val="00C821DA"/>
    <w:rsid w:val="00CA12D7"/>
    <w:rsid w:val="00CA6726"/>
    <w:rsid w:val="00CB091D"/>
    <w:rsid w:val="00CB5D4F"/>
    <w:rsid w:val="00CD684A"/>
    <w:rsid w:val="00D709E3"/>
    <w:rsid w:val="00DC3282"/>
    <w:rsid w:val="00E072F5"/>
    <w:rsid w:val="00E748D1"/>
    <w:rsid w:val="00E90BD5"/>
    <w:rsid w:val="00EA20F7"/>
    <w:rsid w:val="00ED2948"/>
    <w:rsid w:val="00F126B3"/>
    <w:rsid w:val="00F47FD8"/>
    <w:rsid w:val="00F86D99"/>
    <w:rsid w:val="00FA6CEF"/>
    <w:rsid w:val="00FB6E02"/>
    <w:rsid w:val="00FF3B85"/>
    <w:rsid w:val="01EC2CF0"/>
    <w:rsid w:val="037C446B"/>
    <w:rsid w:val="037D24F2"/>
    <w:rsid w:val="07214791"/>
    <w:rsid w:val="075107DD"/>
    <w:rsid w:val="083A2A8D"/>
    <w:rsid w:val="0A907287"/>
    <w:rsid w:val="0C7072FD"/>
    <w:rsid w:val="0CA500B5"/>
    <w:rsid w:val="0CF6390D"/>
    <w:rsid w:val="0E9D4E90"/>
    <w:rsid w:val="0FEA3D56"/>
    <w:rsid w:val="10C17BCE"/>
    <w:rsid w:val="14857702"/>
    <w:rsid w:val="14A85320"/>
    <w:rsid w:val="15811995"/>
    <w:rsid w:val="17850F92"/>
    <w:rsid w:val="18857341"/>
    <w:rsid w:val="19E7724D"/>
    <w:rsid w:val="19EA42AD"/>
    <w:rsid w:val="1B1037C0"/>
    <w:rsid w:val="1CAD41B2"/>
    <w:rsid w:val="1EC23146"/>
    <w:rsid w:val="1ECD2DEF"/>
    <w:rsid w:val="1F444FAD"/>
    <w:rsid w:val="210C6632"/>
    <w:rsid w:val="235B1EB5"/>
    <w:rsid w:val="25EB3895"/>
    <w:rsid w:val="28577436"/>
    <w:rsid w:val="2D7840D8"/>
    <w:rsid w:val="2F132D41"/>
    <w:rsid w:val="310C4889"/>
    <w:rsid w:val="33C55F75"/>
    <w:rsid w:val="34CE1F94"/>
    <w:rsid w:val="35F51BEC"/>
    <w:rsid w:val="37F937BB"/>
    <w:rsid w:val="3AE47061"/>
    <w:rsid w:val="3BF60614"/>
    <w:rsid w:val="3C262EE3"/>
    <w:rsid w:val="3CDA023B"/>
    <w:rsid w:val="3E023106"/>
    <w:rsid w:val="4494718F"/>
    <w:rsid w:val="44EC688A"/>
    <w:rsid w:val="44FE6607"/>
    <w:rsid w:val="458A348C"/>
    <w:rsid w:val="45EC21FE"/>
    <w:rsid w:val="47983390"/>
    <w:rsid w:val="49A14B2D"/>
    <w:rsid w:val="49CF78C8"/>
    <w:rsid w:val="4A0A53EF"/>
    <w:rsid w:val="4A1B719C"/>
    <w:rsid w:val="4A4F4B74"/>
    <w:rsid w:val="4AC05CE9"/>
    <w:rsid w:val="4FAD232C"/>
    <w:rsid w:val="56CA1A0D"/>
    <w:rsid w:val="59E42D8A"/>
    <w:rsid w:val="5B704AFC"/>
    <w:rsid w:val="5D600603"/>
    <w:rsid w:val="5D9B6518"/>
    <w:rsid w:val="65D7051E"/>
    <w:rsid w:val="660812C6"/>
    <w:rsid w:val="66AA3373"/>
    <w:rsid w:val="67103B55"/>
    <w:rsid w:val="6A61091B"/>
    <w:rsid w:val="6B1D005F"/>
    <w:rsid w:val="6DDB1B0C"/>
    <w:rsid w:val="6E2E7ECC"/>
    <w:rsid w:val="6E4269C5"/>
    <w:rsid w:val="748B55CB"/>
    <w:rsid w:val="752D502B"/>
    <w:rsid w:val="79A454A8"/>
    <w:rsid w:val="7A7F69D9"/>
    <w:rsid w:val="7E415147"/>
    <w:rsid w:val="7F58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4"/>
    <w:next w:val="5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5"/>
    <w:next w:val="1"/>
    <w:qFormat/>
    <w:uiPriority w:val="0"/>
    <w:pPr>
      <w:spacing w:before="260" w:after="260" w:line="240" w:lineRule="auto"/>
      <w:outlineLvl w:val="2"/>
    </w:pPr>
    <w:rPr>
      <w:rFonts w:ascii="宋体" w:hAnsi="宋体" w:eastAsia="宋体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批注框文本 Char"/>
    <w:basedOn w:val="13"/>
    <w:link w:val="7"/>
    <w:autoRedefine/>
    <w:semiHidden/>
    <w:qFormat/>
    <w:uiPriority w:val="99"/>
    <w:rPr>
      <w:sz w:val="18"/>
      <w:szCs w:val="18"/>
    </w:rPr>
  </w:style>
  <w:style w:type="character" w:customStyle="1" w:styleId="18">
    <w:name w:val="font31"/>
    <w:basedOn w:val="13"/>
    <w:autoRedefine/>
    <w:qFormat/>
    <w:uiPriority w:val="0"/>
    <w:rPr>
      <w:rFonts w:hint="eastAsia" w:ascii="微软雅黑" w:hAnsi="微软雅黑" w:eastAsia="微软雅黑" w:cs="微软雅黑"/>
      <w:b/>
      <w:bCs/>
      <w:color w:val="000000"/>
      <w:sz w:val="28"/>
      <w:szCs w:val="28"/>
      <w:u w:val="none"/>
    </w:rPr>
  </w:style>
  <w:style w:type="character" w:customStyle="1" w:styleId="19">
    <w:name w:val="font21"/>
    <w:basedOn w:val="13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20">
    <w:name w:val="font41"/>
    <w:basedOn w:val="13"/>
    <w:autoRedefine/>
    <w:qFormat/>
    <w:uiPriority w:val="0"/>
    <w:rPr>
      <w:rFonts w:hint="eastAsia" w:ascii="微软雅黑" w:hAnsi="微软雅黑" w:eastAsia="微软雅黑" w:cs="微软雅黑"/>
      <w:b/>
      <w:bCs/>
      <w:color w:val="000000"/>
      <w:sz w:val="24"/>
      <w:szCs w:val="24"/>
      <w:u w:val="none"/>
    </w:rPr>
  </w:style>
  <w:style w:type="character" w:customStyle="1" w:styleId="21">
    <w:name w:val="font51"/>
    <w:basedOn w:val="13"/>
    <w:autoRedefine/>
    <w:qFormat/>
    <w:uiPriority w:val="0"/>
    <w:rPr>
      <w:rFonts w:hint="eastAsia" w:ascii="微软雅黑" w:hAnsi="微软雅黑" w:eastAsia="微软雅黑" w:cs="微软雅黑"/>
      <w:color w:val="FF0000"/>
      <w:sz w:val="24"/>
      <w:szCs w:val="24"/>
      <w:u w:val="none"/>
    </w:rPr>
  </w:style>
  <w:style w:type="character" w:customStyle="1" w:styleId="22">
    <w:name w:val="font61"/>
    <w:basedOn w:val="13"/>
    <w:autoRedefine/>
    <w:qFormat/>
    <w:uiPriority w:val="0"/>
    <w:rPr>
      <w:rFonts w:hint="eastAsia" w:ascii="微软雅黑" w:hAnsi="微软雅黑" w:eastAsia="微软雅黑" w:cs="微软雅黑"/>
      <w:b/>
      <w:bCs/>
      <w:color w:val="FF0000"/>
      <w:sz w:val="24"/>
      <w:szCs w:val="24"/>
      <w:u w:val="none"/>
    </w:rPr>
  </w:style>
  <w:style w:type="character" w:customStyle="1" w:styleId="23">
    <w:name w:val="font71"/>
    <w:basedOn w:val="13"/>
    <w:autoRedefine/>
    <w:qFormat/>
    <w:uiPriority w:val="0"/>
    <w:rPr>
      <w:rFonts w:hint="eastAsia" w:ascii="微软雅黑" w:hAnsi="微软雅黑" w:eastAsia="微软雅黑" w:cs="微软雅黑"/>
      <w:b/>
      <w:bCs/>
      <w:color w:val="0066FF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1276</Words>
  <Characters>1325</Characters>
  <Lines>4</Lines>
  <Paragraphs>1</Paragraphs>
  <TotalTime>20</TotalTime>
  <ScaleCrop>false</ScaleCrop>
  <LinksUpToDate>false</LinksUpToDate>
  <CharactersWithSpaces>1361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2017-05-31T01:34:00Z</dcterms:created>
  <dc:creator>石秀选</dc:creator>
  <cp:lastModifiedBy>邹松峰</cp:lastModifiedBy>
  <cp:lastPrinted>2022-06-29T06:24:00Z</cp:lastPrinted>
  <dcterms:modified xsi:type="dcterms:W3CDTF">2024-07-30T07:36:25Z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DF4D191D26EF42CE8EAD2B0C2B5A4242_13</vt:lpwstr>
  </property>
</Properties>
</file>