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宋体" w:hAnsi="宋体" w:eastAsia="宋体" w:cs="Times New Roman"/>
          <w:color w:val="0000FF"/>
          <w:sz w:val="24"/>
        </w:rPr>
      </w:pPr>
      <w:bookmarkStart w:id="0" w:name="OLE_LINK22"/>
      <w:bookmarkStart w:id="1" w:name="OLE_LINK23"/>
      <w:bookmarkStart w:id="2" w:name="OLE_LINK21"/>
    </w:p>
    <w:p>
      <w:pPr>
        <w:jc w:val="center"/>
        <w:rPr>
          <w:rFonts w:ascii="宋体" w:hAnsi="宋体" w:eastAsia="宋体" w:cs="Times New Roman"/>
          <w:color w:val="0000FF"/>
          <w:sz w:val="56"/>
        </w:rPr>
      </w:pPr>
    </w:p>
    <w:p>
      <w:pPr>
        <w:jc w:val="center"/>
        <w:rPr>
          <w:rFonts w:ascii="宋体" w:hAnsi="宋体" w:eastAsia="宋体" w:cs="Times New Roman"/>
          <w:color w:val="0000FF"/>
          <w:sz w:val="56"/>
        </w:rPr>
      </w:pPr>
    </w:p>
    <w:p>
      <w:pPr>
        <w:jc w:val="center"/>
        <w:rPr>
          <w:rFonts w:ascii="宋体" w:hAnsi="宋体" w:eastAsia="宋体" w:cs="Times New Roman"/>
          <w:color w:val="0000FF"/>
          <w:sz w:val="56"/>
        </w:rPr>
      </w:pPr>
      <w:r>
        <w:rPr>
          <w:rFonts w:hint="eastAsia" w:ascii="宋体" w:hAnsi="宋体" w:eastAsia="宋体" w:cs="Times New Roman"/>
          <w:color w:val="0000FF"/>
          <w:sz w:val="56"/>
        </w:rPr>
        <w:t>深圳大学总医院</w:t>
      </w:r>
    </w:p>
    <w:p>
      <w:pPr>
        <w:jc w:val="center"/>
        <w:rPr>
          <w:rFonts w:ascii="宋体" w:hAnsi="宋体" w:eastAsia="宋体" w:cs="Times New Roman"/>
          <w:color w:val="FF0000"/>
          <w:sz w:val="56"/>
        </w:rPr>
      </w:pPr>
      <w:r>
        <w:rPr>
          <w:rFonts w:hint="eastAsia" w:ascii="宋体" w:hAnsi="宋体" w:eastAsia="宋体" w:cs="Times New Roman"/>
          <w:color w:val="FF0000"/>
          <w:sz w:val="56"/>
        </w:rPr>
        <w:t>深圳大学总医院购买劳务派遣用工服务</w:t>
      </w:r>
    </w:p>
    <w:p>
      <w:pPr>
        <w:jc w:val="center"/>
        <w:rPr>
          <w:rFonts w:ascii="宋体" w:hAnsi="宋体" w:eastAsia="宋体" w:cs="Times New Roman"/>
          <w:b/>
          <w:color w:val="000000"/>
          <w:sz w:val="90"/>
          <w:szCs w:val="24"/>
        </w:rPr>
      </w:pPr>
      <w:r>
        <w:rPr>
          <w:rFonts w:hint="eastAsia" w:ascii="宋体" w:hAnsi="宋体" w:eastAsia="宋体" w:cs="Times New Roman"/>
          <w:b/>
          <w:color w:val="000000"/>
          <w:sz w:val="90"/>
          <w:szCs w:val="24"/>
        </w:rPr>
        <w:t>采 购 文 件</w:t>
      </w:r>
    </w:p>
    <w:p>
      <w:pPr>
        <w:jc w:val="center"/>
        <w:rPr>
          <w:rFonts w:ascii="宋体" w:hAnsi="宋体" w:eastAsia="宋体" w:cs="Times New Roman"/>
          <w:color w:val="000000"/>
          <w:sz w:val="30"/>
          <w:szCs w:val="24"/>
        </w:rPr>
      </w:pPr>
      <w:r>
        <w:rPr>
          <w:rFonts w:hint="eastAsia" w:ascii="宋体" w:hAnsi="宋体" w:eastAsia="宋体" w:cs="Times New Roman"/>
          <w:color w:val="000000"/>
          <w:sz w:val="30"/>
          <w:szCs w:val="24"/>
        </w:rPr>
        <w:t>（项目编号：SUGHCG2024010FW）</w:t>
      </w:r>
    </w:p>
    <w:p>
      <w:pPr>
        <w:jc w:val="center"/>
        <w:rPr>
          <w:rFonts w:ascii="宋体" w:hAnsi="宋体" w:eastAsia="宋体" w:cs="Times New Roman"/>
          <w:color w:val="000000"/>
          <w:sz w:val="90"/>
          <w:szCs w:val="24"/>
        </w:rPr>
      </w:pPr>
    </w:p>
    <w:p>
      <w:pPr>
        <w:jc w:val="center"/>
        <w:rPr>
          <w:rFonts w:ascii="宋体" w:hAnsi="宋体" w:eastAsia="宋体" w:cs="Times New Roman"/>
          <w:color w:val="000000"/>
          <w:sz w:val="90"/>
          <w:szCs w:val="24"/>
        </w:rPr>
      </w:pPr>
    </w:p>
    <w:p>
      <w:pPr>
        <w:rPr>
          <w:rFonts w:ascii="宋体" w:hAnsi="宋体" w:eastAsia="宋体" w:cs="Times New Roman"/>
          <w:color w:val="000000"/>
          <w:sz w:val="90"/>
          <w:szCs w:val="24"/>
        </w:rPr>
      </w:pPr>
    </w:p>
    <w:p>
      <w:pPr>
        <w:jc w:val="center"/>
        <w:rPr>
          <w:rFonts w:ascii="宋体" w:hAnsi="宋体" w:eastAsia="宋体" w:cs="Times New Roman"/>
          <w:color w:val="000000"/>
          <w:sz w:val="30"/>
          <w:szCs w:val="24"/>
        </w:rPr>
      </w:pPr>
      <w:r>
        <w:rPr>
          <w:rFonts w:hint="eastAsia" w:ascii="宋体" w:hAnsi="宋体" w:eastAsia="宋体" w:cs="Times New Roman"/>
          <w:color w:val="000000"/>
          <w:sz w:val="30"/>
          <w:szCs w:val="24"/>
        </w:rPr>
        <w:t xml:space="preserve">深圳大学总医院招投标管理办公室   </w:t>
      </w:r>
    </w:p>
    <w:p>
      <w:pPr>
        <w:jc w:val="center"/>
        <w:rPr>
          <w:rFonts w:ascii="宋体" w:hAnsi="宋体" w:eastAsia="宋体" w:cs="Times New Roman"/>
          <w:color w:val="FF0000"/>
          <w:sz w:val="30"/>
          <w:szCs w:val="24"/>
        </w:rPr>
      </w:pPr>
      <w:r>
        <w:rPr>
          <w:rFonts w:hint="eastAsia" w:ascii="宋体" w:hAnsi="宋体" w:eastAsia="宋体" w:cs="Times New Roman"/>
          <w:color w:val="FF0000"/>
          <w:sz w:val="30"/>
          <w:szCs w:val="24"/>
        </w:rPr>
        <w:t>二零二四年六月</w:t>
      </w:r>
    </w:p>
    <w:p>
      <w:pPr>
        <w:widowControl/>
        <w:jc w:val="left"/>
        <w:rPr>
          <w:rFonts w:ascii="宋体" w:hAnsi="宋体" w:eastAsia="宋体" w:cs="Times New Roman"/>
          <w:color w:val="FF0000"/>
          <w:sz w:val="30"/>
          <w:szCs w:val="24"/>
        </w:rPr>
      </w:pPr>
      <w:r>
        <w:rPr>
          <w:rFonts w:ascii="宋体" w:hAnsi="宋体" w:eastAsia="宋体" w:cs="Times New Roman"/>
          <w:color w:val="FF0000"/>
          <w:sz w:val="30"/>
          <w:szCs w:val="24"/>
        </w:rPr>
        <w:br w:type="page"/>
      </w:r>
    </w:p>
    <w:p>
      <w:pPr>
        <w:keepNext/>
        <w:keepLines/>
        <w:spacing w:before="340" w:after="330" w:line="360" w:lineRule="auto"/>
        <w:jc w:val="center"/>
        <w:outlineLvl w:val="0"/>
        <w:rPr>
          <w:rFonts w:ascii="宋体" w:hAnsi="宋体" w:eastAsia="黑体" w:cs="Times New Roman"/>
          <w:b/>
          <w:bCs/>
          <w:kern w:val="44"/>
          <w:sz w:val="36"/>
          <w:szCs w:val="44"/>
        </w:rPr>
      </w:pPr>
      <w:r>
        <w:rPr>
          <w:rFonts w:hint="eastAsia" w:ascii="宋体" w:hAnsi="宋体" w:eastAsia="黑体" w:cs="Times New Roman"/>
          <w:b/>
          <w:bCs/>
          <w:kern w:val="44"/>
          <w:sz w:val="36"/>
          <w:szCs w:val="44"/>
        </w:rPr>
        <w:t>关键信息</w:t>
      </w:r>
    </w:p>
    <w:p>
      <w:pPr>
        <w:keepNext/>
        <w:keepLines/>
        <w:adjustRightInd w:val="0"/>
        <w:spacing w:before="260" w:after="260"/>
        <w:jc w:val="center"/>
        <w:textAlignment w:val="baseline"/>
        <w:outlineLvl w:val="1"/>
        <w:rPr>
          <w:rFonts w:ascii="宋体" w:hAnsi="宋体" w:eastAsia="宋体" w:cs="Times New Roman"/>
          <w:b/>
          <w:bCs/>
          <w:kern w:val="0"/>
          <w:sz w:val="24"/>
          <w:szCs w:val="20"/>
        </w:rPr>
      </w:pPr>
      <w:r>
        <w:rPr>
          <w:rFonts w:hint="eastAsia" w:ascii="宋体" w:hAnsi="宋体" w:eastAsia="宋体" w:cs="Times New Roman"/>
          <w:b/>
          <w:bCs/>
          <w:kern w:val="0"/>
          <w:sz w:val="24"/>
          <w:szCs w:val="20"/>
        </w:rPr>
        <w:t>项目信息</w:t>
      </w:r>
    </w:p>
    <w:p>
      <w:pPr>
        <w:rPr>
          <w:rFonts w:ascii="宋体" w:hAnsi="宋体" w:eastAsia="宋体" w:cs="Times New Roman"/>
          <w:sz w:val="32"/>
          <w:szCs w:val="24"/>
        </w:rPr>
      </w:pPr>
      <w:r>
        <w:rPr>
          <w:rFonts w:ascii="宋体" w:hAnsi="宋体" w:eastAsia="宋体" w:cs="Times New Roman"/>
          <w:sz w:val="32"/>
          <w:szCs w:val="24"/>
        </w:rPr>
        <w:t xml:space="preserve">      项目编号： </w:t>
      </w:r>
      <w:r>
        <w:rPr>
          <w:rFonts w:hint="eastAsia" w:ascii="宋体" w:hAnsi="宋体" w:eastAsia="宋体" w:cs="Times New Roman"/>
          <w:sz w:val="32"/>
          <w:szCs w:val="24"/>
        </w:rPr>
        <w:t>SUGHCG2024010FW</w:t>
      </w:r>
      <w:r>
        <w:rPr>
          <w:rFonts w:ascii="宋体" w:hAnsi="宋体" w:eastAsia="宋体" w:cs="Times New Roman"/>
          <w:sz w:val="32"/>
          <w:szCs w:val="24"/>
        </w:rPr>
        <w:t xml:space="preserve"> </w:t>
      </w:r>
    </w:p>
    <w:p>
      <w:pPr>
        <w:rPr>
          <w:rFonts w:ascii="宋体" w:hAnsi="宋体" w:eastAsia="宋体" w:cs="Times New Roman"/>
          <w:sz w:val="32"/>
          <w:szCs w:val="24"/>
        </w:rPr>
      </w:pPr>
      <w:r>
        <w:rPr>
          <w:rFonts w:ascii="宋体" w:hAnsi="宋体" w:eastAsia="宋体" w:cs="Times New Roman"/>
          <w:sz w:val="32"/>
          <w:szCs w:val="24"/>
        </w:rPr>
        <w:t xml:space="preserve">      项目名称：  </w:t>
      </w:r>
      <w:r>
        <w:rPr>
          <w:rFonts w:hint="eastAsia" w:ascii="宋体" w:hAnsi="宋体" w:eastAsia="宋体" w:cs="Times New Roman"/>
          <w:sz w:val="32"/>
          <w:szCs w:val="24"/>
        </w:rPr>
        <w:t>深圳大学总医院购买劳务派遣用工服务</w:t>
      </w:r>
    </w:p>
    <w:p>
      <w:pPr>
        <w:rPr>
          <w:rFonts w:ascii="宋体" w:hAnsi="宋体" w:eastAsia="宋体" w:cs="Times New Roman"/>
          <w:sz w:val="32"/>
          <w:szCs w:val="24"/>
        </w:rPr>
      </w:pPr>
      <w:r>
        <w:rPr>
          <w:rFonts w:ascii="宋体" w:hAnsi="宋体" w:eastAsia="宋体" w:cs="Times New Roman"/>
          <w:sz w:val="32"/>
          <w:szCs w:val="24"/>
        </w:rPr>
        <w:t xml:space="preserve">      项目类型：  服务类</w:t>
      </w:r>
    </w:p>
    <w:p>
      <w:pPr>
        <w:rPr>
          <w:rFonts w:ascii="宋体" w:hAnsi="宋体" w:eastAsia="宋体" w:cs="Times New Roman"/>
          <w:sz w:val="32"/>
          <w:szCs w:val="24"/>
        </w:rPr>
      </w:pPr>
      <w:r>
        <w:rPr>
          <w:rFonts w:ascii="宋体" w:hAnsi="宋体" w:eastAsia="宋体" w:cs="Times New Roman"/>
          <w:sz w:val="32"/>
          <w:szCs w:val="24"/>
        </w:rPr>
        <w:t xml:space="preserve">      采购方式：  公开招标</w:t>
      </w:r>
    </w:p>
    <w:p>
      <w:pPr>
        <w:rPr>
          <w:rFonts w:ascii="宋体" w:hAnsi="宋体" w:eastAsia="宋体" w:cs="Times New Roman"/>
          <w:sz w:val="32"/>
          <w:szCs w:val="24"/>
        </w:rPr>
      </w:pPr>
      <w:r>
        <w:rPr>
          <w:rFonts w:ascii="宋体" w:hAnsi="宋体" w:eastAsia="宋体" w:cs="Times New Roman"/>
          <w:sz w:val="32"/>
          <w:szCs w:val="24"/>
        </w:rPr>
        <w:t xml:space="preserve">      </w:t>
      </w:r>
    </w:p>
    <w:p>
      <w:pPr>
        <w:keepNext/>
        <w:keepLines/>
        <w:adjustRightInd w:val="0"/>
        <w:spacing w:before="260" w:after="260"/>
        <w:jc w:val="center"/>
        <w:textAlignment w:val="baseline"/>
        <w:outlineLvl w:val="1"/>
        <w:rPr>
          <w:rFonts w:ascii="宋体" w:hAnsi="宋体" w:eastAsia="宋体" w:cs="Times New Roman"/>
          <w:b/>
          <w:bCs/>
          <w:kern w:val="0"/>
          <w:sz w:val="36"/>
          <w:szCs w:val="20"/>
        </w:rPr>
      </w:pPr>
      <w:r>
        <w:rPr>
          <w:rFonts w:hint="eastAsia" w:ascii="宋体" w:hAnsi="宋体" w:eastAsia="宋体" w:cs="Times New Roman"/>
          <w:b/>
          <w:bCs/>
          <w:kern w:val="0"/>
          <w:sz w:val="36"/>
          <w:szCs w:val="20"/>
        </w:rPr>
        <w:t>投标文件初审表</w:t>
      </w:r>
    </w:p>
    <w:p>
      <w:pPr>
        <w:jc w:val="center"/>
        <w:rPr>
          <w:rFonts w:ascii="Times New Roman" w:hAnsi="Times New Roman" w:eastAsia="宋体" w:cs="Times New Roman"/>
          <w:b/>
          <w:szCs w:val="24"/>
        </w:rPr>
      </w:pPr>
      <w:r>
        <w:rPr>
          <w:rFonts w:hint="eastAsia" w:ascii="Times New Roman" w:hAnsi="Times New Roman" w:eastAsia="宋体" w:cs="Times New Roman"/>
          <w:b/>
          <w:szCs w:val="24"/>
        </w:rPr>
        <w:t>（凡有下列情形之一的，投标文件无效，投标作废标处理）</w:t>
      </w:r>
    </w:p>
    <w:tbl>
      <w:tblPr>
        <w:tblStyle w:val="54"/>
        <w:tblW w:w="82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9"/>
        <w:gridCol w:w="69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gridSpan w:val="2"/>
          </w:tcPr>
          <w:p>
            <w:pPr>
              <w:jc w:val="center"/>
              <w:rPr>
                <w:rFonts w:ascii="Times New Roman" w:hAnsi="Times New Roman" w:eastAsia="宋体" w:cs="Times New Roman"/>
                <w:szCs w:val="24"/>
              </w:rPr>
            </w:pPr>
            <w:r>
              <w:rPr>
                <w:rFonts w:hint="eastAsia" w:ascii="Times New Roman" w:hAnsi="Times New Roman" w:eastAsia="宋体" w:cs="Times New Roman"/>
                <w:szCs w:val="24"/>
              </w:rPr>
              <w:t>资格性检查表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9" w:type="dxa"/>
          </w:tcPr>
          <w:p>
            <w:pPr>
              <w:rPr>
                <w:rFonts w:ascii="Times New Roman" w:hAnsi="Times New Roman" w:eastAsia="宋体" w:cs="Times New Roman"/>
                <w:szCs w:val="24"/>
              </w:rPr>
            </w:pPr>
            <w:r>
              <w:rPr>
                <w:rFonts w:ascii="Times New Roman" w:hAnsi="Times New Roman" w:eastAsia="宋体" w:cs="Times New Roman"/>
                <w:szCs w:val="24"/>
              </w:rPr>
              <w:t>1</w:t>
            </w:r>
          </w:p>
        </w:tc>
        <w:tc>
          <w:tcPr>
            <w:tcW w:w="6907" w:type="dxa"/>
          </w:tcPr>
          <w:p>
            <w:pPr>
              <w:rPr>
                <w:rFonts w:ascii="Times New Roman" w:hAnsi="Times New Roman" w:eastAsia="宋体" w:cs="Times New Roman"/>
                <w:szCs w:val="24"/>
              </w:rPr>
            </w:pPr>
            <w:r>
              <w:rPr>
                <w:rFonts w:hint="eastAsia" w:ascii="Times New Roman" w:hAnsi="Times New Roman" w:eastAsia="宋体" w:cs="Times New Roman"/>
                <w:szCs w:val="24"/>
              </w:rPr>
              <w:t>投标人不具备招标文件所列的资格要求，并未提交相应的资格证明资料（详见招标公告投标人资格要求）；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gridSpan w:val="2"/>
          </w:tcPr>
          <w:p>
            <w:pPr>
              <w:jc w:val="center"/>
              <w:rPr>
                <w:rFonts w:ascii="Times New Roman" w:hAnsi="Times New Roman" w:eastAsia="宋体" w:cs="Times New Roman"/>
                <w:szCs w:val="24"/>
              </w:rPr>
            </w:pPr>
            <w:r>
              <w:rPr>
                <w:rFonts w:hint="eastAsia" w:ascii="Times New Roman" w:hAnsi="Times New Roman" w:eastAsia="宋体" w:cs="Times New Roman"/>
                <w:szCs w:val="24"/>
              </w:rPr>
              <w:t>符合性检查表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9" w:type="dxa"/>
          </w:tcPr>
          <w:p>
            <w:pPr>
              <w:rPr>
                <w:rFonts w:ascii="Times New Roman" w:hAnsi="Times New Roman" w:eastAsia="宋体" w:cs="Times New Roman"/>
                <w:szCs w:val="24"/>
              </w:rPr>
            </w:pPr>
            <w:r>
              <w:rPr>
                <w:rFonts w:ascii="Times New Roman" w:hAnsi="Times New Roman" w:eastAsia="宋体" w:cs="Times New Roman"/>
                <w:szCs w:val="24"/>
              </w:rPr>
              <w:t>2</w:t>
            </w:r>
          </w:p>
        </w:tc>
        <w:tc>
          <w:tcPr>
            <w:tcW w:w="6907" w:type="dxa"/>
          </w:tcPr>
          <w:p>
            <w:pPr>
              <w:rPr>
                <w:rFonts w:ascii="Times New Roman" w:hAnsi="Times New Roman" w:eastAsia="宋体" w:cs="Times New Roman"/>
                <w:szCs w:val="24"/>
              </w:rPr>
            </w:pPr>
            <w:r>
              <w:rPr>
                <w:rFonts w:hint="eastAsia" w:ascii="Times New Roman" w:hAnsi="Times New Roman" w:eastAsia="宋体" w:cs="Times New Roman"/>
                <w:szCs w:val="24"/>
              </w:rPr>
              <w:t>将一个包或一个标段的内容拆开投标；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9" w:type="dxa"/>
          </w:tcPr>
          <w:p>
            <w:pPr>
              <w:rPr>
                <w:rFonts w:ascii="Times New Roman" w:hAnsi="Times New Roman" w:eastAsia="宋体" w:cs="Times New Roman"/>
                <w:szCs w:val="24"/>
              </w:rPr>
            </w:pPr>
            <w:r>
              <w:rPr>
                <w:rFonts w:ascii="Times New Roman" w:hAnsi="Times New Roman" w:eastAsia="宋体" w:cs="Times New Roman"/>
                <w:szCs w:val="24"/>
              </w:rPr>
              <w:t>3</w:t>
            </w:r>
          </w:p>
        </w:tc>
        <w:tc>
          <w:tcPr>
            <w:tcW w:w="6907" w:type="dxa"/>
          </w:tcPr>
          <w:p>
            <w:pPr>
              <w:rPr>
                <w:rFonts w:ascii="Times New Roman" w:hAnsi="Times New Roman" w:eastAsia="宋体" w:cs="Times New Roman"/>
                <w:szCs w:val="24"/>
              </w:rPr>
            </w:pPr>
            <w:r>
              <w:rPr>
                <w:rFonts w:hint="eastAsia" w:ascii="Times New Roman" w:hAnsi="Times New Roman" w:eastAsia="宋体" w:cs="Times New Roman"/>
                <w:szCs w:val="24"/>
              </w:rPr>
              <w:t>招标文件未规定允许有替代方案时，对同一服务投标时，提供两套以上的投标方案；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9" w:type="dxa"/>
          </w:tcPr>
          <w:p>
            <w:pPr>
              <w:rPr>
                <w:rFonts w:ascii="Times New Roman" w:hAnsi="Times New Roman" w:eastAsia="宋体" w:cs="Times New Roman"/>
                <w:szCs w:val="24"/>
              </w:rPr>
            </w:pPr>
            <w:r>
              <w:rPr>
                <w:rFonts w:ascii="Times New Roman" w:hAnsi="Times New Roman" w:eastAsia="宋体" w:cs="Times New Roman"/>
                <w:szCs w:val="24"/>
              </w:rPr>
              <w:t>4</w:t>
            </w:r>
          </w:p>
        </w:tc>
        <w:tc>
          <w:tcPr>
            <w:tcW w:w="6907" w:type="dxa"/>
          </w:tcPr>
          <w:p>
            <w:pPr>
              <w:rPr>
                <w:rFonts w:ascii="Times New Roman" w:hAnsi="Times New Roman" w:eastAsia="宋体" w:cs="Times New Roman"/>
                <w:szCs w:val="24"/>
              </w:rPr>
            </w:pPr>
            <w:r>
              <w:rPr>
                <w:rFonts w:hint="eastAsia" w:ascii="Times New Roman" w:hAnsi="Times New Roman" w:eastAsia="宋体" w:cs="Times New Roman"/>
                <w:szCs w:val="24"/>
              </w:rPr>
              <w:t>投标总价或分项报价高于财政预算限额；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9" w:type="dxa"/>
          </w:tcPr>
          <w:p>
            <w:pPr>
              <w:rPr>
                <w:rFonts w:ascii="Times New Roman" w:hAnsi="Times New Roman" w:eastAsia="宋体" w:cs="Times New Roman"/>
                <w:szCs w:val="24"/>
              </w:rPr>
            </w:pPr>
            <w:r>
              <w:rPr>
                <w:rFonts w:ascii="Times New Roman" w:hAnsi="Times New Roman" w:eastAsia="宋体" w:cs="Times New Roman"/>
                <w:szCs w:val="24"/>
              </w:rPr>
              <w:t>5</w:t>
            </w:r>
          </w:p>
        </w:tc>
        <w:tc>
          <w:tcPr>
            <w:tcW w:w="6907" w:type="dxa"/>
          </w:tcPr>
          <w:p>
            <w:pPr>
              <w:rPr>
                <w:rFonts w:ascii="Times New Roman" w:hAnsi="Times New Roman" w:eastAsia="宋体" w:cs="Times New Roman"/>
                <w:szCs w:val="24"/>
              </w:rPr>
            </w:pPr>
            <w:r>
              <w:rPr>
                <w:rFonts w:hint="eastAsia" w:ascii="Times New Roman" w:hAnsi="Times New Roman" w:eastAsia="宋体" w:cs="Times New Roman"/>
                <w:szCs w:val="24"/>
              </w:rPr>
              <w:t>同一项目出现两个以上报价；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9" w:type="dxa"/>
          </w:tcPr>
          <w:p>
            <w:pPr>
              <w:rPr>
                <w:rFonts w:ascii="Times New Roman" w:hAnsi="Times New Roman" w:eastAsia="宋体" w:cs="Times New Roman"/>
                <w:szCs w:val="24"/>
              </w:rPr>
            </w:pPr>
            <w:r>
              <w:rPr>
                <w:rFonts w:hint="eastAsia" w:ascii="Times New Roman" w:hAnsi="Times New Roman" w:eastAsia="宋体" w:cs="Times New Roman"/>
                <w:szCs w:val="24"/>
              </w:rPr>
              <w:t>6</w:t>
            </w:r>
          </w:p>
        </w:tc>
        <w:tc>
          <w:tcPr>
            <w:tcW w:w="6907" w:type="dxa"/>
          </w:tcPr>
          <w:p>
            <w:pPr>
              <w:rPr>
                <w:rFonts w:ascii="Times New Roman" w:hAnsi="Times New Roman" w:eastAsia="宋体" w:cs="Times New Roman"/>
                <w:szCs w:val="24"/>
              </w:rPr>
            </w:pPr>
            <w:r>
              <w:rPr>
                <w:rFonts w:hint="eastAsia" w:ascii="Times New Roman" w:hAnsi="Times New Roman" w:eastAsia="宋体" w:cs="Times New Roman"/>
                <w:szCs w:val="24"/>
              </w:rPr>
              <w:t>投标人的报价明显低于其他通过符合性审查投标人的报价，有可能影响产品质量或者不能诚信履约的，且投标人不能证明其报价合理性；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9" w:type="dxa"/>
          </w:tcPr>
          <w:p>
            <w:pPr>
              <w:rPr>
                <w:rFonts w:ascii="Times New Roman" w:hAnsi="Times New Roman" w:eastAsia="宋体" w:cs="Times New Roman"/>
                <w:szCs w:val="24"/>
              </w:rPr>
            </w:pPr>
            <w:r>
              <w:rPr>
                <w:rFonts w:ascii="Times New Roman" w:hAnsi="Times New Roman" w:eastAsia="宋体" w:cs="Times New Roman"/>
                <w:szCs w:val="24"/>
              </w:rPr>
              <w:t>7</w:t>
            </w:r>
          </w:p>
        </w:tc>
        <w:tc>
          <w:tcPr>
            <w:tcW w:w="6907" w:type="dxa"/>
          </w:tcPr>
          <w:p>
            <w:pPr>
              <w:rPr>
                <w:rFonts w:ascii="Times New Roman" w:hAnsi="Times New Roman" w:eastAsia="宋体" w:cs="Times New Roman"/>
                <w:szCs w:val="24"/>
              </w:rPr>
            </w:pPr>
            <w:r>
              <w:rPr>
                <w:rFonts w:hint="eastAsia" w:ascii="Times New Roman" w:hAnsi="Times New Roman" w:eastAsia="宋体" w:cs="Times New Roman"/>
                <w:szCs w:val="24"/>
              </w:rPr>
              <w:t>投标文件载明的招标项目服务期限不满足招标文件要求；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9" w:type="dxa"/>
          </w:tcPr>
          <w:p>
            <w:pPr>
              <w:rPr>
                <w:rFonts w:ascii="Times New Roman" w:hAnsi="Times New Roman" w:eastAsia="宋体" w:cs="Times New Roman"/>
                <w:szCs w:val="24"/>
              </w:rPr>
            </w:pPr>
            <w:r>
              <w:rPr>
                <w:rFonts w:ascii="Times New Roman" w:hAnsi="Times New Roman" w:eastAsia="宋体" w:cs="Times New Roman"/>
                <w:szCs w:val="24"/>
              </w:rPr>
              <w:t>8</w:t>
            </w:r>
          </w:p>
        </w:tc>
        <w:tc>
          <w:tcPr>
            <w:tcW w:w="6907" w:type="dxa"/>
          </w:tcPr>
          <w:p>
            <w:pPr>
              <w:rPr>
                <w:rFonts w:ascii="Times New Roman" w:hAnsi="Times New Roman" w:eastAsia="宋体" w:cs="Times New Roman"/>
                <w:szCs w:val="24"/>
              </w:rPr>
            </w:pPr>
            <w:r>
              <w:rPr>
                <w:rFonts w:hint="eastAsia" w:ascii="Times New Roman" w:hAnsi="Times New Roman" w:eastAsia="宋体" w:cs="Times New Roman"/>
                <w:szCs w:val="24"/>
              </w:rPr>
              <w:t>所投投标方案、服务内容在质量、技术、方案等方面没有实质性满足招标文件要求的（是否实质性满足招标文件要求，由评标委员会来做出评判）；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9" w:type="dxa"/>
          </w:tcPr>
          <w:p>
            <w:pPr>
              <w:rPr>
                <w:rFonts w:ascii="Times New Roman" w:hAnsi="Times New Roman" w:eastAsia="宋体" w:cs="Times New Roman"/>
                <w:szCs w:val="24"/>
              </w:rPr>
            </w:pPr>
            <w:r>
              <w:rPr>
                <w:rFonts w:ascii="Times New Roman" w:hAnsi="Times New Roman" w:eastAsia="宋体" w:cs="Times New Roman"/>
                <w:szCs w:val="24"/>
              </w:rPr>
              <w:t>9</w:t>
            </w:r>
          </w:p>
        </w:tc>
        <w:tc>
          <w:tcPr>
            <w:tcW w:w="6907" w:type="dxa"/>
          </w:tcPr>
          <w:p>
            <w:pPr>
              <w:rPr>
                <w:rFonts w:ascii="Times New Roman" w:hAnsi="Times New Roman" w:eastAsia="宋体" w:cs="Times New Roman"/>
                <w:szCs w:val="24"/>
              </w:rPr>
            </w:pPr>
            <w:r>
              <w:rPr>
                <w:rFonts w:hint="eastAsia" w:ascii="Times New Roman" w:hAnsi="Times New Roman" w:eastAsia="宋体" w:cs="Times New Roman"/>
                <w:szCs w:val="24"/>
              </w:rPr>
              <w:t>未按招标文件所提供的样式填写投标函，或未按招标文件对投标文件组成的要求提供投标文件的（投标文件组成不完整）；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9" w:type="dxa"/>
          </w:tcPr>
          <w:p>
            <w:pPr>
              <w:rPr>
                <w:rFonts w:ascii="Times New Roman" w:hAnsi="Times New Roman" w:eastAsia="宋体" w:cs="Times New Roman"/>
                <w:szCs w:val="24"/>
              </w:rPr>
            </w:pPr>
            <w:r>
              <w:rPr>
                <w:rFonts w:ascii="Times New Roman" w:hAnsi="Times New Roman" w:eastAsia="宋体" w:cs="Times New Roman"/>
                <w:szCs w:val="24"/>
              </w:rPr>
              <w:t>10</w:t>
            </w:r>
          </w:p>
        </w:tc>
        <w:tc>
          <w:tcPr>
            <w:tcW w:w="6907" w:type="dxa"/>
          </w:tcPr>
          <w:p>
            <w:pPr>
              <w:rPr>
                <w:rFonts w:ascii="Times New Roman" w:hAnsi="Times New Roman" w:eastAsia="宋体" w:cs="Times New Roman"/>
                <w:szCs w:val="24"/>
              </w:rPr>
            </w:pPr>
            <w:r>
              <w:rPr>
                <w:rFonts w:hint="eastAsia" w:ascii="Times New Roman" w:hAnsi="Times New Roman" w:eastAsia="宋体" w:cs="Times New Roman"/>
                <w:szCs w:val="24"/>
              </w:rPr>
              <w:t>投标报价有严重缺漏项目或对招标文件规定的服务清单项目及数量进行修改；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9" w:type="dxa"/>
          </w:tcPr>
          <w:p>
            <w:pPr>
              <w:rPr>
                <w:rFonts w:ascii="Times New Roman" w:hAnsi="Times New Roman" w:eastAsia="宋体" w:cs="Times New Roman"/>
                <w:szCs w:val="24"/>
              </w:rPr>
            </w:pPr>
            <w:r>
              <w:rPr>
                <w:rFonts w:hint="eastAsia" w:ascii="Times New Roman" w:hAnsi="Times New Roman" w:eastAsia="宋体" w:cs="Times New Roman"/>
                <w:szCs w:val="24"/>
              </w:rPr>
              <w:t>1</w:t>
            </w:r>
            <w:r>
              <w:rPr>
                <w:rFonts w:ascii="Times New Roman" w:hAnsi="Times New Roman" w:eastAsia="宋体" w:cs="Times New Roman"/>
                <w:szCs w:val="24"/>
              </w:rPr>
              <w:t>1</w:t>
            </w:r>
          </w:p>
        </w:tc>
        <w:tc>
          <w:tcPr>
            <w:tcW w:w="6907" w:type="dxa"/>
          </w:tcPr>
          <w:p>
            <w:pPr>
              <w:rPr>
                <w:rFonts w:ascii="Times New Roman" w:hAnsi="Times New Roman" w:eastAsia="宋体" w:cs="Times New Roman"/>
                <w:szCs w:val="24"/>
              </w:rPr>
            </w:pPr>
            <w:r>
              <w:rPr>
                <w:rFonts w:hint="eastAsia" w:ascii="Times New Roman" w:hAnsi="Times New Roman" w:eastAsia="宋体" w:cs="Times New Roman"/>
                <w:szCs w:val="24"/>
              </w:rPr>
              <w:t>法律、法规规定的其他情形。</w:t>
            </w:r>
          </w:p>
        </w:tc>
      </w:tr>
    </w:tbl>
    <w:p>
      <w:pPr>
        <w:rPr>
          <w:rFonts w:ascii="Times New Roman" w:hAnsi="Times New Roman" w:eastAsia="宋体" w:cs="Times New Roman"/>
          <w:szCs w:val="24"/>
        </w:rPr>
      </w:pPr>
    </w:p>
    <w:p>
      <w:pPr>
        <w:rPr>
          <w:rFonts w:ascii="Times New Roman" w:hAnsi="Times New Roman" w:eastAsia="宋体" w:cs="Times New Roman"/>
          <w:szCs w:val="24"/>
        </w:rPr>
      </w:pPr>
    </w:p>
    <w:p>
      <w:pPr>
        <w:keepNext/>
        <w:keepLines/>
        <w:adjustRightInd w:val="0"/>
        <w:spacing w:before="260" w:after="260"/>
        <w:jc w:val="center"/>
        <w:textAlignment w:val="baseline"/>
        <w:outlineLvl w:val="1"/>
        <w:rPr>
          <w:rFonts w:ascii="宋体" w:hAnsi="宋体" w:eastAsia="宋体" w:cs="Times New Roman"/>
          <w:b/>
          <w:bCs/>
          <w:kern w:val="0"/>
          <w:sz w:val="36"/>
          <w:szCs w:val="20"/>
        </w:rPr>
      </w:pPr>
      <w:r>
        <w:rPr>
          <w:rFonts w:ascii="宋体" w:hAnsi="宋体" w:eastAsia="宋体" w:cs="Times New Roman"/>
          <w:b/>
          <w:bCs/>
          <w:kern w:val="0"/>
          <w:sz w:val="36"/>
          <w:szCs w:val="20"/>
        </w:rPr>
        <w:t>评标信息</w:t>
      </w:r>
    </w:p>
    <w:p>
      <w:pPr>
        <w:adjustRightInd w:val="0"/>
        <w:snapToGrid w:val="0"/>
        <w:spacing w:line="360" w:lineRule="auto"/>
        <w:jc w:val="left"/>
      </w:pPr>
      <w:bookmarkStart w:id="3" w:name="OLE_LINK3"/>
      <w:bookmarkStart w:id="4" w:name="OLE_LINK4"/>
      <w:r>
        <w:rPr>
          <w:rFonts w:hint="eastAsia"/>
          <w:b/>
        </w:rPr>
        <w:t>评标方法：</w:t>
      </w:r>
      <w:r>
        <w:rPr>
          <w:rFonts w:hint="eastAsia"/>
        </w:rPr>
        <w:t xml:space="preserve">本项目评审方法采用 综合评分法（详见“第二册通用条款第七章”）。本项目推荐候选中标供应商数量为 </w:t>
      </w:r>
      <w:r>
        <w:t>1</w:t>
      </w:r>
      <w:r>
        <w:rPr>
          <w:rFonts w:hint="eastAsia"/>
        </w:rPr>
        <w:t xml:space="preserve"> 家，中标供应商数量为 1 家。</w:t>
      </w:r>
    </w:p>
    <w:p>
      <w:pPr>
        <w:adjustRightInd w:val="0"/>
        <w:snapToGrid w:val="0"/>
        <w:spacing w:line="360" w:lineRule="auto"/>
        <w:jc w:val="left"/>
      </w:pPr>
    </w:p>
    <w:p>
      <w:pPr>
        <w:adjustRightInd w:val="0"/>
        <w:snapToGrid w:val="0"/>
        <w:spacing w:line="360" w:lineRule="auto"/>
        <w:jc w:val="left"/>
        <w:rPr>
          <w:b/>
        </w:rPr>
      </w:pPr>
      <w:r>
        <w:rPr>
          <w:rFonts w:hint="eastAsia"/>
          <w:b/>
        </w:rPr>
        <w:t>评标方法</w:t>
      </w:r>
      <w:r>
        <w:rPr>
          <w:b/>
        </w:rPr>
        <w:t>说明：</w:t>
      </w:r>
    </w:p>
    <w:p>
      <w:pPr>
        <w:adjustRightInd w:val="0"/>
        <w:snapToGrid w:val="0"/>
        <w:spacing w:line="360" w:lineRule="auto"/>
        <w:jc w:val="left"/>
      </w:pPr>
      <w:r>
        <w:rPr>
          <w:rFonts w:hint="eastAsia"/>
        </w:rPr>
        <w:t>　　评标总得分＝F1×A1＋F2×A2＋……＋Fn×An</w:t>
      </w:r>
    </w:p>
    <w:p>
      <w:pPr>
        <w:adjustRightInd w:val="0"/>
        <w:snapToGrid w:val="0"/>
        <w:spacing w:line="360" w:lineRule="auto"/>
        <w:jc w:val="left"/>
      </w:pPr>
      <w:r>
        <w:rPr>
          <w:rFonts w:hint="eastAsia"/>
        </w:rPr>
        <w:t>　　F1、F2……Fn分别为各项评审因素的得分；</w:t>
      </w:r>
    </w:p>
    <w:p>
      <w:pPr>
        <w:adjustRightInd w:val="0"/>
        <w:snapToGrid w:val="0"/>
        <w:spacing w:line="360" w:lineRule="auto"/>
        <w:ind w:firstLine="420"/>
        <w:jc w:val="left"/>
      </w:pPr>
      <w:r>
        <w:rPr>
          <w:rFonts w:hint="eastAsia"/>
        </w:rPr>
        <w:t>A1、A2、……An 分别为各项评审因素所占的权重(A1＋A2＋……＋An＝1)。</w:t>
      </w:r>
    </w:p>
    <w:p>
      <w:pPr>
        <w:adjustRightInd w:val="0"/>
        <w:snapToGrid w:val="0"/>
        <w:spacing w:line="360" w:lineRule="auto"/>
        <w:ind w:left="420" w:leftChars="200"/>
        <w:jc w:val="left"/>
      </w:pPr>
      <w:r>
        <w:rPr>
          <w:rFonts w:hint="eastAsia"/>
        </w:rPr>
        <w:t>主观</w:t>
      </w:r>
      <w:r>
        <w:t>评分的评审</w:t>
      </w:r>
      <w:r>
        <w:rPr>
          <w:rFonts w:hint="eastAsia"/>
        </w:rPr>
        <w:t>因素</w:t>
      </w:r>
      <w:r>
        <w:t>的得分</w:t>
      </w:r>
      <w:r>
        <w:rPr>
          <w:rFonts w:hint="eastAsia"/>
        </w:rPr>
        <w:t>是</w:t>
      </w:r>
      <w:r>
        <w:t>所有评委</w:t>
      </w:r>
      <w:r>
        <w:rPr>
          <w:rFonts w:hint="eastAsia"/>
        </w:rPr>
        <w:t>打分</w:t>
      </w:r>
      <w:r>
        <w:t>的算数平均值（</w:t>
      </w:r>
      <w:r>
        <w:rPr>
          <w:rFonts w:hint="eastAsia"/>
        </w:rPr>
        <w:t>不得</w:t>
      </w:r>
      <w:r>
        <w:t>扣除最高分和最低分）</w:t>
      </w:r>
      <w:r>
        <w:rPr>
          <w:rFonts w:hint="eastAsia"/>
        </w:rPr>
        <w:t>。</w:t>
      </w:r>
    </w:p>
    <w:bookmarkEnd w:id="3"/>
    <w:bookmarkEnd w:id="4"/>
    <w:tbl>
      <w:tblPr>
        <w:tblStyle w:val="54"/>
        <w:tblW w:w="90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59"/>
        <w:gridCol w:w="709"/>
        <w:gridCol w:w="1417"/>
        <w:gridCol w:w="851"/>
        <w:gridCol w:w="54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5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eastAsia="宋体" w:cs="宋体"/>
                <w:szCs w:val="21"/>
              </w:rPr>
            </w:pPr>
            <w:r>
              <w:rPr>
                <w:rFonts w:hint="eastAsia" w:ascii="宋体" w:hAnsi="宋体" w:eastAsia="宋体" w:cs="宋体"/>
                <w:szCs w:val="21"/>
              </w:rPr>
              <w:t>序号</w:t>
            </w:r>
          </w:p>
        </w:tc>
        <w:tc>
          <w:tcPr>
            <w:tcW w:w="2977"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eastAsia="宋体" w:cs="宋体"/>
                <w:szCs w:val="21"/>
              </w:rPr>
            </w:pPr>
            <w:r>
              <w:rPr>
                <w:rFonts w:hint="eastAsia" w:ascii="宋体" w:hAnsi="宋体" w:eastAsia="宋体" w:cs="宋体"/>
                <w:szCs w:val="21"/>
              </w:rPr>
              <w:t>评分项</w:t>
            </w:r>
          </w:p>
        </w:tc>
        <w:tc>
          <w:tcPr>
            <w:tcW w:w="540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eastAsia="宋体" w:cs="宋体"/>
                <w:szCs w:val="21"/>
              </w:rPr>
            </w:pPr>
            <w:r>
              <w:rPr>
                <w:rFonts w:hint="eastAsia" w:ascii="宋体" w:hAnsi="宋体" w:eastAsia="宋体" w:cs="宋体"/>
                <w:szCs w:val="21"/>
              </w:rPr>
              <w:t>权重（%）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59" w:type="dxa"/>
            <w:tcBorders>
              <w:top w:val="single" w:color="auto" w:sz="4" w:space="0"/>
              <w:left w:val="single" w:color="auto" w:sz="4" w:space="0"/>
              <w:right w:val="single" w:color="auto" w:sz="4" w:space="0"/>
            </w:tcBorders>
            <w:vAlign w:val="center"/>
          </w:tcPr>
          <w:p>
            <w:pPr>
              <w:adjustRightInd w:val="0"/>
              <w:snapToGrid w:val="0"/>
              <w:jc w:val="center"/>
              <w:rPr>
                <w:rFonts w:ascii="宋体" w:hAnsi="宋体" w:eastAsia="宋体" w:cs="宋体"/>
                <w:szCs w:val="21"/>
              </w:rPr>
            </w:pPr>
            <w:r>
              <w:rPr>
                <w:rFonts w:hint="eastAsia" w:ascii="宋体" w:hAnsi="宋体" w:eastAsia="宋体" w:cs="宋体"/>
                <w:szCs w:val="21"/>
              </w:rPr>
              <w:t>1</w:t>
            </w:r>
          </w:p>
        </w:tc>
        <w:tc>
          <w:tcPr>
            <w:tcW w:w="2977"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eastAsia="宋体" w:cs="宋体"/>
                <w:szCs w:val="21"/>
              </w:rPr>
            </w:pPr>
            <w:r>
              <w:rPr>
                <w:rFonts w:hint="eastAsia" w:ascii="宋体" w:hAnsi="宋体" w:eastAsia="宋体" w:cs="宋体"/>
                <w:szCs w:val="21"/>
              </w:rPr>
              <w:t>价格</w:t>
            </w:r>
          </w:p>
        </w:tc>
        <w:tc>
          <w:tcPr>
            <w:tcW w:w="540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eastAsia="宋体" w:cs="宋体"/>
                <w:szCs w:val="21"/>
              </w:rPr>
            </w:pPr>
            <w:r>
              <w:rPr>
                <w:rFonts w:hint="eastAsia" w:ascii="宋体" w:hAnsi="宋体" w:eastAsia="宋体" w:cs="宋体"/>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59" w:type="dxa"/>
            <w:vMerge w:val="restart"/>
            <w:tcBorders>
              <w:left w:val="single" w:color="auto" w:sz="4" w:space="0"/>
              <w:right w:val="single" w:color="auto" w:sz="4" w:space="0"/>
            </w:tcBorders>
            <w:vAlign w:val="center"/>
          </w:tcPr>
          <w:p>
            <w:pPr>
              <w:adjustRightInd w:val="0"/>
              <w:snapToGrid w:val="0"/>
              <w:jc w:val="center"/>
              <w:rPr>
                <w:rFonts w:ascii="宋体" w:hAnsi="宋体" w:eastAsia="宋体" w:cs="宋体"/>
                <w:szCs w:val="21"/>
              </w:rPr>
            </w:pPr>
          </w:p>
        </w:tc>
        <w:tc>
          <w:tcPr>
            <w:tcW w:w="70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eastAsia="宋体" w:cs="宋体"/>
                <w:szCs w:val="21"/>
              </w:rPr>
            </w:pPr>
            <w:r>
              <w:rPr>
                <w:rFonts w:hint="eastAsia" w:ascii="宋体" w:hAnsi="宋体" w:eastAsia="宋体" w:cs="宋体"/>
                <w:szCs w:val="21"/>
              </w:rPr>
              <w:t>序号</w:t>
            </w:r>
          </w:p>
        </w:tc>
        <w:tc>
          <w:tcPr>
            <w:tcW w:w="141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eastAsia="宋体" w:cs="宋体"/>
                <w:szCs w:val="21"/>
              </w:rPr>
            </w:pPr>
            <w:r>
              <w:rPr>
                <w:rFonts w:hint="eastAsia" w:ascii="宋体" w:hAnsi="宋体" w:eastAsia="宋体" w:cs="宋体"/>
                <w:szCs w:val="21"/>
              </w:rPr>
              <w:t>评分因素</w:t>
            </w:r>
          </w:p>
        </w:tc>
        <w:tc>
          <w:tcPr>
            <w:tcW w:w="85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eastAsia="宋体" w:cs="宋体"/>
                <w:szCs w:val="21"/>
              </w:rPr>
            </w:pPr>
            <w:r>
              <w:rPr>
                <w:rFonts w:hint="eastAsia" w:ascii="宋体" w:hAnsi="宋体" w:eastAsia="宋体" w:cs="宋体"/>
                <w:szCs w:val="21"/>
              </w:rPr>
              <w:t>权重（%）</w:t>
            </w:r>
          </w:p>
        </w:tc>
        <w:tc>
          <w:tcPr>
            <w:tcW w:w="5403" w:type="dxa"/>
            <w:tcBorders>
              <w:top w:val="single" w:color="auto" w:sz="4" w:space="0"/>
              <w:left w:val="single" w:color="auto" w:sz="4" w:space="0"/>
              <w:bottom w:val="single" w:color="auto" w:sz="4" w:space="0"/>
              <w:right w:val="single" w:color="auto" w:sz="4" w:space="0"/>
            </w:tcBorders>
            <w:vAlign w:val="center"/>
          </w:tcPr>
          <w:p>
            <w:pPr>
              <w:ind w:firstLine="420" w:firstLineChars="200"/>
              <w:jc w:val="left"/>
              <w:rPr>
                <w:rFonts w:ascii="宋体" w:hAnsi="宋体" w:eastAsia="宋体" w:cs="宋体"/>
                <w:szCs w:val="21"/>
              </w:rPr>
            </w:pPr>
            <w:r>
              <w:rPr>
                <w:rFonts w:hint="eastAsia" w:ascii="宋体" w:hAnsi="宋体" w:eastAsia="宋体" w:cs="宋体"/>
                <w:szCs w:val="21"/>
              </w:rPr>
              <w:t>评分准则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59" w:type="dxa"/>
            <w:vMerge w:val="continue"/>
            <w:tcBorders>
              <w:left w:val="single" w:color="auto" w:sz="4" w:space="0"/>
              <w:bottom w:val="single" w:color="auto" w:sz="4" w:space="0"/>
              <w:right w:val="single" w:color="auto" w:sz="4" w:space="0"/>
            </w:tcBorders>
            <w:vAlign w:val="center"/>
          </w:tcPr>
          <w:p>
            <w:pPr>
              <w:adjustRightInd w:val="0"/>
              <w:snapToGrid w:val="0"/>
              <w:jc w:val="center"/>
              <w:rPr>
                <w:rFonts w:ascii="宋体" w:hAnsi="宋体" w:eastAsia="宋体" w:cs="宋体"/>
                <w:szCs w:val="21"/>
              </w:rPr>
            </w:pPr>
          </w:p>
        </w:tc>
        <w:tc>
          <w:tcPr>
            <w:tcW w:w="70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eastAsia="宋体" w:cs="宋体"/>
                <w:szCs w:val="21"/>
              </w:rPr>
            </w:pPr>
            <w:r>
              <w:rPr>
                <w:rFonts w:hint="eastAsia" w:ascii="宋体" w:hAnsi="宋体" w:eastAsia="宋体" w:cs="宋体"/>
                <w:szCs w:val="21"/>
              </w:rPr>
              <w:t>1</w:t>
            </w:r>
          </w:p>
        </w:tc>
        <w:tc>
          <w:tcPr>
            <w:tcW w:w="141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eastAsia="宋体" w:cs="宋体"/>
                <w:szCs w:val="21"/>
              </w:rPr>
            </w:pPr>
            <w:r>
              <w:rPr>
                <w:rFonts w:hint="eastAsia" w:ascii="宋体" w:hAnsi="宋体" w:eastAsia="宋体" w:cs="宋体"/>
                <w:szCs w:val="21"/>
              </w:rPr>
              <w:t>价格</w:t>
            </w:r>
          </w:p>
        </w:tc>
        <w:tc>
          <w:tcPr>
            <w:tcW w:w="85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eastAsia="宋体" w:cs="宋体"/>
                <w:szCs w:val="21"/>
              </w:rPr>
            </w:pPr>
            <w:r>
              <w:rPr>
                <w:rFonts w:hint="eastAsia" w:ascii="宋体" w:hAnsi="宋体" w:eastAsia="宋体" w:cs="宋体"/>
                <w:szCs w:val="21"/>
              </w:rPr>
              <w:t>10</w:t>
            </w:r>
          </w:p>
        </w:tc>
        <w:tc>
          <w:tcPr>
            <w:tcW w:w="540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宋体" w:hAnsi="宋体" w:eastAsia="宋体" w:cs="宋体"/>
                <w:szCs w:val="21"/>
              </w:rPr>
            </w:pPr>
            <w:r>
              <w:rPr>
                <w:rFonts w:hint="eastAsia" w:ascii="宋体" w:hAnsi="宋体" w:eastAsia="宋体" w:cs="宋体"/>
                <w:szCs w:val="21"/>
              </w:rPr>
              <w:t>综合评分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5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eastAsia="宋体" w:cs="宋体"/>
                <w:szCs w:val="21"/>
              </w:rPr>
            </w:pPr>
            <w:r>
              <w:rPr>
                <w:rFonts w:hint="eastAsia" w:ascii="宋体" w:hAnsi="宋体" w:eastAsia="宋体" w:cs="宋体"/>
                <w:szCs w:val="21"/>
              </w:rPr>
              <w:t>2</w:t>
            </w:r>
          </w:p>
        </w:tc>
        <w:tc>
          <w:tcPr>
            <w:tcW w:w="2977"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eastAsia="宋体" w:cs="宋体"/>
                <w:szCs w:val="21"/>
              </w:rPr>
            </w:pPr>
            <w:r>
              <w:rPr>
                <w:rFonts w:hint="eastAsia" w:ascii="宋体" w:hAnsi="宋体" w:eastAsia="宋体" w:cs="宋体"/>
                <w:szCs w:val="21"/>
              </w:rPr>
              <w:t>技术</w:t>
            </w:r>
          </w:p>
        </w:tc>
        <w:tc>
          <w:tcPr>
            <w:tcW w:w="540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eastAsia="宋体" w:cs="宋体"/>
                <w:szCs w:val="21"/>
              </w:rPr>
            </w:pPr>
            <w:r>
              <w:rPr>
                <w:rFonts w:hint="eastAsia" w:ascii="宋体" w:hAnsi="宋体" w:eastAsia="宋体" w:cs="宋体"/>
                <w:szCs w:val="21"/>
              </w:rPr>
              <w:t>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59" w:type="dxa"/>
            <w:vMerge w:val="restart"/>
            <w:tcBorders>
              <w:top w:val="single" w:color="auto" w:sz="4" w:space="0"/>
              <w:left w:val="single" w:color="auto" w:sz="4" w:space="0"/>
              <w:right w:val="single" w:color="auto" w:sz="4" w:space="0"/>
            </w:tcBorders>
            <w:vAlign w:val="center"/>
          </w:tcPr>
          <w:p>
            <w:pPr>
              <w:adjustRightInd w:val="0"/>
              <w:snapToGrid w:val="0"/>
              <w:jc w:val="center"/>
              <w:rPr>
                <w:rFonts w:ascii="宋体" w:hAnsi="宋体" w:eastAsia="宋体" w:cs="宋体"/>
                <w:szCs w:val="21"/>
              </w:rPr>
            </w:pPr>
          </w:p>
        </w:tc>
        <w:tc>
          <w:tcPr>
            <w:tcW w:w="70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eastAsia="宋体" w:cs="宋体"/>
                <w:szCs w:val="21"/>
              </w:rPr>
            </w:pPr>
            <w:r>
              <w:rPr>
                <w:rFonts w:hint="eastAsia" w:ascii="宋体" w:hAnsi="宋体" w:eastAsia="宋体" w:cs="宋体"/>
                <w:szCs w:val="21"/>
              </w:rPr>
              <w:t>序号</w:t>
            </w:r>
          </w:p>
        </w:tc>
        <w:tc>
          <w:tcPr>
            <w:tcW w:w="141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eastAsia="宋体" w:cs="宋体"/>
                <w:szCs w:val="21"/>
              </w:rPr>
            </w:pPr>
            <w:r>
              <w:rPr>
                <w:rFonts w:hint="eastAsia" w:ascii="宋体" w:hAnsi="宋体" w:eastAsia="宋体" w:cs="宋体"/>
                <w:szCs w:val="21"/>
              </w:rPr>
              <w:t>评分因素</w:t>
            </w:r>
          </w:p>
        </w:tc>
        <w:tc>
          <w:tcPr>
            <w:tcW w:w="85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eastAsia="宋体" w:cs="宋体"/>
                <w:szCs w:val="21"/>
              </w:rPr>
            </w:pPr>
            <w:r>
              <w:rPr>
                <w:rFonts w:hint="eastAsia" w:ascii="宋体" w:hAnsi="宋体" w:eastAsia="宋体" w:cs="宋体"/>
                <w:szCs w:val="21"/>
              </w:rPr>
              <w:t>权重</w:t>
            </w:r>
          </w:p>
          <w:p>
            <w:pPr>
              <w:adjustRightInd w:val="0"/>
              <w:snapToGrid w:val="0"/>
              <w:jc w:val="center"/>
              <w:rPr>
                <w:rFonts w:ascii="宋体" w:hAnsi="宋体" w:eastAsia="宋体" w:cs="宋体"/>
                <w:szCs w:val="21"/>
              </w:rPr>
            </w:pPr>
            <w:r>
              <w:rPr>
                <w:rFonts w:hint="eastAsia" w:ascii="宋体" w:hAnsi="宋体" w:eastAsia="宋体" w:cs="宋体"/>
                <w:szCs w:val="21"/>
              </w:rPr>
              <w:t>（%）</w:t>
            </w:r>
          </w:p>
        </w:tc>
        <w:tc>
          <w:tcPr>
            <w:tcW w:w="540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eastAsia="宋体" w:cs="宋体"/>
                <w:szCs w:val="21"/>
              </w:rPr>
            </w:pPr>
            <w:r>
              <w:rPr>
                <w:rFonts w:hint="eastAsia" w:ascii="宋体" w:hAnsi="宋体" w:eastAsia="宋体" w:cs="宋体"/>
                <w:szCs w:val="21"/>
              </w:rPr>
              <w:t>评分准则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59" w:type="dxa"/>
            <w:vMerge w:val="continue"/>
            <w:tcBorders>
              <w:left w:val="single" w:color="auto" w:sz="4" w:space="0"/>
              <w:right w:val="single" w:color="auto" w:sz="4" w:space="0"/>
            </w:tcBorders>
            <w:vAlign w:val="center"/>
          </w:tcPr>
          <w:p>
            <w:pPr>
              <w:widowControl/>
              <w:adjustRightInd w:val="0"/>
              <w:snapToGrid w:val="0"/>
              <w:jc w:val="center"/>
              <w:rPr>
                <w:rFonts w:ascii="宋体" w:hAnsi="宋体" w:eastAsia="宋体" w:cs="宋体"/>
                <w:szCs w:val="21"/>
              </w:rPr>
            </w:pPr>
          </w:p>
        </w:tc>
        <w:tc>
          <w:tcPr>
            <w:tcW w:w="70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eastAsia="宋体" w:cs="宋体"/>
                <w:szCs w:val="21"/>
              </w:rPr>
            </w:pPr>
            <w:r>
              <w:rPr>
                <w:rFonts w:hint="eastAsia" w:ascii="宋体" w:hAnsi="宋体" w:eastAsia="宋体" w:cs="宋体"/>
                <w:szCs w:val="21"/>
              </w:rPr>
              <w:t>1</w:t>
            </w:r>
          </w:p>
        </w:tc>
        <w:tc>
          <w:tcPr>
            <w:tcW w:w="141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eastAsia="宋体" w:cs="宋体"/>
                <w:szCs w:val="21"/>
              </w:rPr>
            </w:pPr>
            <w:r>
              <w:rPr>
                <w:rFonts w:hint="eastAsia" w:ascii="宋体" w:hAnsi="宋体" w:eastAsia="宋体" w:cs="宋体"/>
                <w:szCs w:val="21"/>
              </w:rPr>
              <w:t>实施方案</w:t>
            </w:r>
          </w:p>
        </w:tc>
        <w:tc>
          <w:tcPr>
            <w:tcW w:w="85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eastAsia="宋体" w:cs="宋体"/>
                <w:szCs w:val="21"/>
              </w:rPr>
            </w:pPr>
            <w:r>
              <w:rPr>
                <w:rFonts w:hint="eastAsia" w:ascii="宋体" w:hAnsi="宋体" w:eastAsia="宋体" w:cs="宋体"/>
                <w:szCs w:val="21"/>
              </w:rPr>
              <w:t>15</w:t>
            </w:r>
          </w:p>
        </w:tc>
        <w:tc>
          <w:tcPr>
            <w:tcW w:w="540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left"/>
              <w:rPr>
                <w:rFonts w:ascii="宋体" w:hAnsi="宋体" w:eastAsia="宋体" w:cs="宋体"/>
                <w:color w:val="000000"/>
                <w:szCs w:val="21"/>
                <w:lang w:bidi="ar"/>
              </w:rPr>
            </w:pPr>
            <w:r>
              <w:rPr>
                <w:rFonts w:hint="eastAsia" w:ascii="宋体" w:hAnsi="宋体" w:eastAsia="宋体" w:cs="宋体"/>
                <w:szCs w:val="21"/>
              </w:rPr>
              <w:t>评审内容：</w:t>
            </w:r>
            <w:r>
              <w:rPr>
                <w:rFonts w:hint="eastAsia" w:ascii="宋体" w:hAnsi="宋体" w:eastAsia="宋体" w:cs="宋体"/>
                <w:color w:val="000000"/>
                <w:szCs w:val="21"/>
                <w:lang w:bidi="ar"/>
              </w:rPr>
              <w:t>针对本项目的服务内容制定实施方案，内容包括但不限于：</w:t>
            </w:r>
          </w:p>
          <w:p>
            <w:pPr>
              <w:numPr>
                <w:ilvl w:val="0"/>
                <w:numId w:val="8"/>
              </w:numPr>
              <w:adjustRightInd w:val="0"/>
              <w:snapToGrid w:val="0"/>
              <w:spacing w:line="360" w:lineRule="auto"/>
              <w:ind w:left="-78" w:firstLine="105" w:firstLineChars="50"/>
              <w:jc w:val="left"/>
              <w:rPr>
                <w:rFonts w:ascii="宋体" w:hAnsi="宋体" w:eastAsia="宋体" w:cs="宋体"/>
                <w:szCs w:val="21"/>
              </w:rPr>
            </w:pPr>
            <w:r>
              <w:rPr>
                <w:rFonts w:hint="eastAsia" w:ascii="宋体" w:hAnsi="宋体" w:eastAsia="宋体" w:cs="宋体"/>
                <w:szCs w:val="21"/>
                <w:lang w:bidi="ar"/>
              </w:rPr>
              <w:t>工作对接方案；</w:t>
            </w:r>
          </w:p>
          <w:p>
            <w:pPr>
              <w:numPr>
                <w:ilvl w:val="0"/>
                <w:numId w:val="8"/>
              </w:numPr>
              <w:adjustRightInd w:val="0"/>
              <w:snapToGrid w:val="0"/>
              <w:spacing w:line="360" w:lineRule="auto"/>
              <w:ind w:left="-78" w:firstLine="105" w:firstLineChars="50"/>
              <w:jc w:val="left"/>
              <w:rPr>
                <w:rFonts w:ascii="宋体" w:hAnsi="宋体" w:eastAsia="宋体" w:cs="宋体"/>
                <w:szCs w:val="21"/>
                <w:lang w:bidi="ar"/>
              </w:rPr>
            </w:pPr>
            <w:r>
              <w:rPr>
                <w:rFonts w:hint="eastAsia" w:ascii="宋体" w:hAnsi="宋体" w:eastAsia="宋体" w:cs="宋体"/>
                <w:szCs w:val="21"/>
                <w:lang w:bidi="ar"/>
              </w:rPr>
              <w:t>人员招聘方案；</w:t>
            </w:r>
          </w:p>
          <w:p>
            <w:pPr>
              <w:numPr>
                <w:ilvl w:val="0"/>
                <w:numId w:val="8"/>
              </w:numPr>
              <w:adjustRightInd w:val="0"/>
              <w:snapToGrid w:val="0"/>
              <w:spacing w:line="360" w:lineRule="auto"/>
              <w:ind w:left="-78" w:firstLine="105" w:firstLineChars="50"/>
              <w:jc w:val="left"/>
              <w:rPr>
                <w:rFonts w:ascii="宋体" w:hAnsi="宋体" w:eastAsia="宋体" w:cs="宋体"/>
                <w:szCs w:val="21"/>
                <w:lang w:bidi="ar"/>
              </w:rPr>
            </w:pPr>
            <w:r>
              <w:rPr>
                <w:rFonts w:hint="eastAsia" w:ascii="宋体" w:hAnsi="宋体" w:eastAsia="宋体" w:cs="宋体"/>
                <w:szCs w:val="21"/>
                <w:lang w:bidi="ar"/>
              </w:rPr>
              <w:t>后续跟踪管理方案；</w:t>
            </w:r>
          </w:p>
          <w:p>
            <w:pPr>
              <w:numPr>
                <w:ilvl w:val="0"/>
                <w:numId w:val="8"/>
              </w:numPr>
              <w:adjustRightInd w:val="0"/>
              <w:snapToGrid w:val="0"/>
              <w:spacing w:line="360" w:lineRule="auto"/>
              <w:ind w:left="-78" w:firstLine="105" w:firstLineChars="50"/>
              <w:jc w:val="left"/>
              <w:rPr>
                <w:rFonts w:ascii="宋体" w:hAnsi="宋体" w:eastAsia="宋体" w:cs="宋体"/>
                <w:szCs w:val="21"/>
                <w:lang w:bidi="ar"/>
              </w:rPr>
            </w:pPr>
            <w:r>
              <w:rPr>
                <w:rFonts w:hint="eastAsia" w:ascii="宋体" w:hAnsi="宋体" w:eastAsia="宋体" w:cs="宋体"/>
                <w:szCs w:val="21"/>
                <w:lang w:bidi="ar"/>
              </w:rPr>
              <w:t>管理目标。</w:t>
            </w:r>
          </w:p>
          <w:p>
            <w:pPr>
              <w:widowControl/>
              <w:adjustRightInd w:val="0"/>
              <w:snapToGrid w:val="0"/>
              <w:spacing w:line="360" w:lineRule="auto"/>
              <w:ind w:firstLine="105" w:firstLineChars="50"/>
              <w:jc w:val="left"/>
              <w:textAlignment w:val="center"/>
              <w:rPr>
                <w:rFonts w:ascii="宋体" w:hAnsi="宋体" w:eastAsia="宋体" w:cs="宋体"/>
                <w:kern w:val="0"/>
                <w:szCs w:val="21"/>
              </w:rPr>
            </w:pPr>
            <w:r>
              <w:rPr>
                <w:rFonts w:hint="eastAsia" w:ascii="宋体" w:hAnsi="宋体" w:eastAsia="宋体" w:cs="宋体"/>
                <w:kern w:val="0"/>
                <w:szCs w:val="21"/>
              </w:rPr>
              <w:t>评分标准：</w:t>
            </w:r>
          </w:p>
          <w:p>
            <w:pPr>
              <w:widowControl/>
              <w:adjustRightInd w:val="0"/>
              <w:snapToGrid w:val="0"/>
              <w:spacing w:line="360" w:lineRule="auto"/>
              <w:ind w:firstLine="105" w:firstLineChars="50"/>
              <w:jc w:val="left"/>
              <w:textAlignment w:val="center"/>
              <w:rPr>
                <w:rFonts w:ascii="宋体" w:hAnsi="宋体" w:eastAsia="宋体" w:cs="宋体"/>
                <w:kern w:val="0"/>
                <w:szCs w:val="21"/>
              </w:rPr>
            </w:pPr>
            <w:r>
              <w:rPr>
                <w:rFonts w:hint="eastAsia" w:ascii="宋体" w:hAnsi="宋体" w:eastAsia="宋体" w:cs="宋体"/>
                <w:kern w:val="0"/>
                <w:szCs w:val="21"/>
              </w:rPr>
              <w:t>（1）服务方案内容全面；</w:t>
            </w:r>
          </w:p>
          <w:p>
            <w:pPr>
              <w:widowControl/>
              <w:adjustRightInd w:val="0"/>
              <w:snapToGrid w:val="0"/>
              <w:spacing w:line="360" w:lineRule="auto"/>
              <w:ind w:firstLine="105" w:firstLineChars="50"/>
              <w:jc w:val="left"/>
              <w:textAlignment w:val="center"/>
              <w:rPr>
                <w:rFonts w:ascii="宋体" w:hAnsi="宋体" w:eastAsia="宋体" w:cs="宋体"/>
                <w:kern w:val="0"/>
                <w:szCs w:val="21"/>
              </w:rPr>
            </w:pPr>
            <w:r>
              <w:rPr>
                <w:rFonts w:hint="eastAsia" w:ascii="宋体" w:hAnsi="宋体" w:eastAsia="宋体" w:cs="宋体"/>
                <w:kern w:val="0"/>
                <w:szCs w:val="21"/>
              </w:rPr>
              <w:t>（2）服务方案内容具体，表达清晰、完整、严谨；</w:t>
            </w:r>
          </w:p>
          <w:p>
            <w:pPr>
              <w:widowControl/>
              <w:adjustRightInd w:val="0"/>
              <w:snapToGrid w:val="0"/>
              <w:spacing w:line="360" w:lineRule="auto"/>
              <w:ind w:firstLine="105" w:firstLineChars="50"/>
              <w:jc w:val="left"/>
              <w:textAlignment w:val="center"/>
              <w:rPr>
                <w:rFonts w:ascii="宋体" w:hAnsi="宋体" w:eastAsia="宋体" w:cs="宋体"/>
                <w:kern w:val="0"/>
                <w:szCs w:val="21"/>
              </w:rPr>
            </w:pPr>
            <w:r>
              <w:rPr>
                <w:rFonts w:hint="eastAsia" w:ascii="宋体" w:hAnsi="宋体" w:eastAsia="宋体" w:cs="宋体"/>
                <w:kern w:val="0"/>
                <w:szCs w:val="21"/>
              </w:rPr>
              <w:t>（3）服务方案内容针对性强；</w:t>
            </w:r>
          </w:p>
          <w:p>
            <w:pPr>
              <w:widowControl/>
              <w:adjustRightInd w:val="0"/>
              <w:snapToGrid w:val="0"/>
              <w:spacing w:line="360" w:lineRule="auto"/>
              <w:ind w:firstLine="105" w:firstLineChars="50"/>
              <w:jc w:val="left"/>
              <w:textAlignment w:val="center"/>
              <w:rPr>
                <w:rFonts w:ascii="宋体" w:hAnsi="宋体" w:eastAsia="宋体" w:cs="宋体"/>
                <w:kern w:val="0"/>
                <w:szCs w:val="21"/>
              </w:rPr>
            </w:pPr>
            <w:r>
              <w:rPr>
                <w:rFonts w:hint="eastAsia" w:ascii="宋体" w:hAnsi="宋体" w:eastAsia="宋体" w:cs="宋体"/>
                <w:kern w:val="0"/>
                <w:szCs w:val="21"/>
              </w:rPr>
              <w:t>（4）服务方案内容先进，科学合理；</w:t>
            </w:r>
          </w:p>
          <w:p>
            <w:pPr>
              <w:widowControl/>
              <w:adjustRightInd w:val="0"/>
              <w:snapToGrid w:val="0"/>
              <w:spacing w:line="360" w:lineRule="auto"/>
              <w:ind w:firstLine="105" w:firstLineChars="50"/>
              <w:jc w:val="left"/>
              <w:textAlignment w:val="center"/>
              <w:rPr>
                <w:rFonts w:ascii="宋体" w:hAnsi="宋体" w:eastAsia="宋体" w:cs="宋体"/>
                <w:kern w:val="0"/>
                <w:szCs w:val="21"/>
              </w:rPr>
            </w:pPr>
            <w:r>
              <w:rPr>
                <w:rFonts w:hint="eastAsia" w:ascii="宋体" w:hAnsi="宋体" w:eastAsia="宋体" w:cs="宋体"/>
                <w:kern w:val="0"/>
                <w:szCs w:val="21"/>
              </w:rPr>
              <w:t>（5）服务方案内容可操作性强；</w:t>
            </w:r>
          </w:p>
          <w:p>
            <w:pPr>
              <w:widowControl/>
              <w:adjustRightInd w:val="0"/>
              <w:snapToGrid w:val="0"/>
              <w:spacing w:line="360" w:lineRule="auto"/>
              <w:ind w:firstLine="105" w:firstLineChars="50"/>
              <w:jc w:val="left"/>
              <w:textAlignment w:val="center"/>
              <w:rPr>
                <w:rFonts w:ascii="宋体" w:hAnsi="宋体" w:eastAsia="宋体" w:cs="宋体"/>
                <w:kern w:val="0"/>
                <w:szCs w:val="21"/>
              </w:rPr>
            </w:pPr>
            <w:r>
              <w:rPr>
                <w:rFonts w:hint="eastAsia" w:ascii="宋体" w:hAnsi="宋体" w:eastAsia="宋体" w:cs="宋体"/>
                <w:kern w:val="0"/>
                <w:szCs w:val="21"/>
              </w:rPr>
              <w:t>满足以上五项要求得100分；</w:t>
            </w:r>
          </w:p>
          <w:p>
            <w:pPr>
              <w:widowControl/>
              <w:adjustRightInd w:val="0"/>
              <w:snapToGrid w:val="0"/>
              <w:spacing w:line="360" w:lineRule="auto"/>
              <w:jc w:val="left"/>
              <w:textAlignment w:val="center"/>
              <w:rPr>
                <w:rFonts w:ascii="宋体" w:hAnsi="宋体" w:eastAsia="宋体" w:cs="宋体"/>
                <w:kern w:val="0"/>
                <w:szCs w:val="21"/>
              </w:rPr>
            </w:pPr>
            <w:r>
              <w:rPr>
                <w:rFonts w:hint="eastAsia" w:ascii="宋体" w:hAnsi="宋体" w:eastAsia="宋体" w:cs="宋体"/>
                <w:kern w:val="0"/>
                <w:szCs w:val="21"/>
              </w:rPr>
              <w:t>满足以上四项要求得80分；</w:t>
            </w:r>
          </w:p>
          <w:p>
            <w:pPr>
              <w:widowControl/>
              <w:adjustRightInd w:val="0"/>
              <w:snapToGrid w:val="0"/>
              <w:spacing w:line="360" w:lineRule="auto"/>
              <w:jc w:val="left"/>
              <w:textAlignment w:val="center"/>
              <w:rPr>
                <w:rFonts w:ascii="宋体" w:hAnsi="宋体" w:eastAsia="宋体" w:cs="宋体"/>
                <w:kern w:val="0"/>
                <w:szCs w:val="21"/>
              </w:rPr>
            </w:pPr>
            <w:r>
              <w:rPr>
                <w:rFonts w:hint="eastAsia" w:ascii="宋体" w:hAnsi="宋体" w:eastAsia="宋体" w:cs="宋体"/>
                <w:kern w:val="0"/>
                <w:szCs w:val="21"/>
              </w:rPr>
              <w:t>满足以上三项要求得60分；</w:t>
            </w:r>
          </w:p>
          <w:p>
            <w:pPr>
              <w:widowControl/>
              <w:adjustRightInd w:val="0"/>
              <w:snapToGrid w:val="0"/>
              <w:spacing w:line="360" w:lineRule="auto"/>
              <w:jc w:val="left"/>
              <w:textAlignment w:val="center"/>
              <w:rPr>
                <w:rFonts w:ascii="宋体" w:hAnsi="宋体" w:eastAsia="宋体" w:cs="宋体"/>
                <w:kern w:val="0"/>
                <w:szCs w:val="21"/>
              </w:rPr>
            </w:pPr>
            <w:r>
              <w:rPr>
                <w:rFonts w:hint="eastAsia" w:ascii="宋体" w:hAnsi="宋体" w:eastAsia="宋体" w:cs="宋体"/>
                <w:kern w:val="0"/>
                <w:szCs w:val="21"/>
              </w:rPr>
              <w:t>满足以上两项要求40分；</w:t>
            </w:r>
          </w:p>
          <w:p>
            <w:pPr>
              <w:adjustRightInd w:val="0"/>
              <w:snapToGrid w:val="0"/>
              <w:spacing w:line="360" w:lineRule="auto"/>
              <w:jc w:val="left"/>
              <w:rPr>
                <w:rFonts w:ascii="宋体" w:hAnsi="宋体" w:eastAsia="宋体" w:cs="宋体"/>
                <w:b/>
                <w:i/>
                <w:szCs w:val="21"/>
                <w:u w:val="single"/>
              </w:rPr>
            </w:pPr>
            <w:r>
              <w:rPr>
                <w:rFonts w:hint="eastAsia" w:ascii="宋体" w:hAnsi="宋体" w:eastAsia="宋体" w:cs="宋体"/>
                <w:szCs w:val="21"/>
              </w:rPr>
              <w:t>其它情况不得分。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59" w:type="dxa"/>
            <w:vMerge w:val="continue"/>
            <w:tcBorders>
              <w:left w:val="single" w:color="auto" w:sz="4" w:space="0"/>
              <w:right w:val="single" w:color="auto" w:sz="4" w:space="0"/>
            </w:tcBorders>
            <w:vAlign w:val="center"/>
          </w:tcPr>
          <w:p>
            <w:pPr>
              <w:widowControl/>
              <w:adjustRightInd w:val="0"/>
              <w:snapToGrid w:val="0"/>
              <w:jc w:val="center"/>
              <w:rPr>
                <w:rFonts w:ascii="宋体" w:hAnsi="宋体" w:eastAsia="宋体" w:cs="宋体"/>
                <w:szCs w:val="21"/>
              </w:rPr>
            </w:pPr>
          </w:p>
        </w:tc>
        <w:tc>
          <w:tcPr>
            <w:tcW w:w="70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eastAsia="宋体" w:cs="宋体"/>
                <w:szCs w:val="21"/>
              </w:rPr>
            </w:pPr>
            <w:r>
              <w:rPr>
                <w:rFonts w:hint="eastAsia" w:ascii="宋体" w:hAnsi="宋体" w:eastAsia="宋体" w:cs="宋体"/>
                <w:szCs w:val="21"/>
              </w:rPr>
              <w:t>2</w:t>
            </w:r>
          </w:p>
        </w:tc>
        <w:tc>
          <w:tcPr>
            <w:tcW w:w="141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eastAsia="宋体" w:cs="宋体"/>
                <w:szCs w:val="21"/>
              </w:rPr>
            </w:pPr>
            <w:r>
              <w:rPr>
                <w:rFonts w:hint="eastAsia" w:ascii="宋体" w:hAnsi="宋体" w:eastAsia="宋体" w:cs="宋体"/>
                <w:szCs w:val="21"/>
              </w:rPr>
              <w:t>项目重点难点分析、应对措施及相关的合理化建议</w:t>
            </w:r>
          </w:p>
        </w:tc>
        <w:tc>
          <w:tcPr>
            <w:tcW w:w="85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eastAsia="宋体" w:cs="宋体"/>
                <w:szCs w:val="21"/>
              </w:rPr>
            </w:pPr>
            <w:r>
              <w:rPr>
                <w:rFonts w:hint="eastAsia" w:ascii="宋体" w:hAnsi="宋体" w:eastAsia="宋体" w:cs="宋体"/>
                <w:szCs w:val="21"/>
              </w:rPr>
              <w:t>15</w:t>
            </w:r>
          </w:p>
        </w:tc>
        <w:tc>
          <w:tcPr>
            <w:tcW w:w="540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left"/>
              <w:rPr>
                <w:rFonts w:ascii="宋体" w:hAnsi="宋体" w:eastAsia="宋体" w:cs="宋体"/>
                <w:szCs w:val="21"/>
              </w:rPr>
            </w:pPr>
            <w:r>
              <w:rPr>
                <w:rFonts w:hint="eastAsia" w:ascii="宋体" w:hAnsi="宋体" w:eastAsia="宋体" w:cs="宋体"/>
                <w:szCs w:val="21"/>
              </w:rPr>
              <w:t>评审内容：</w:t>
            </w:r>
          </w:p>
          <w:p>
            <w:pPr>
              <w:autoSpaceDE w:val="0"/>
              <w:autoSpaceDN w:val="0"/>
              <w:adjustRightInd w:val="0"/>
              <w:snapToGrid w:val="0"/>
              <w:spacing w:line="360" w:lineRule="auto"/>
              <w:jc w:val="left"/>
              <w:textAlignment w:val="baseline"/>
              <w:rPr>
                <w:rFonts w:ascii="宋体" w:hAnsi="宋体" w:eastAsia="宋体" w:cs="宋体"/>
                <w:kern w:val="0"/>
                <w:szCs w:val="21"/>
              </w:rPr>
            </w:pPr>
            <w:r>
              <w:rPr>
                <w:rFonts w:hint="eastAsia" w:ascii="宋体" w:hAnsi="宋体" w:eastAsia="宋体" w:cs="宋体"/>
                <w:kern w:val="0"/>
                <w:szCs w:val="21"/>
              </w:rPr>
              <w:t>1.评委根据投标人提供的项目重点难点分析、应对措施及相关的合理化建议进行评审：</w:t>
            </w:r>
          </w:p>
          <w:p>
            <w:pPr>
              <w:autoSpaceDE w:val="0"/>
              <w:autoSpaceDN w:val="0"/>
              <w:adjustRightInd w:val="0"/>
              <w:snapToGrid w:val="0"/>
              <w:spacing w:line="360" w:lineRule="auto"/>
              <w:jc w:val="left"/>
              <w:textAlignment w:val="baseline"/>
              <w:rPr>
                <w:rFonts w:ascii="宋体" w:hAnsi="宋体" w:eastAsia="宋体" w:cs="宋体"/>
                <w:kern w:val="0"/>
                <w:szCs w:val="21"/>
              </w:rPr>
            </w:pPr>
            <w:r>
              <w:rPr>
                <w:rFonts w:hint="eastAsia" w:ascii="宋体" w:hAnsi="宋体" w:eastAsia="宋体" w:cs="宋体"/>
                <w:kern w:val="0"/>
                <w:szCs w:val="21"/>
              </w:rPr>
              <w:t>（1）具有重点难点分析；</w:t>
            </w:r>
          </w:p>
          <w:p>
            <w:pPr>
              <w:autoSpaceDE w:val="0"/>
              <w:autoSpaceDN w:val="0"/>
              <w:adjustRightInd w:val="0"/>
              <w:snapToGrid w:val="0"/>
              <w:spacing w:line="360" w:lineRule="auto"/>
              <w:jc w:val="left"/>
              <w:textAlignment w:val="baseline"/>
              <w:rPr>
                <w:rFonts w:ascii="宋体" w:hAnsi="宋体" w:eastAsia="宋体" w:cs="宋体"/>
                <w:kern w:val="0"/>
                <w:szCs w:val="21"/>
              </w:rPr>
            </w:pPr>
            <w:r>
              <w:rPr>
                <w:rFonts w:hint="eastAsia" w:ascii="宋体" w:hAnsi="宋体" w:eastAsia="宋体" w:cs="宋体"/>
                <w:kern w:val="0"/>
                <w:szCs w:val="21"/>
              </w:rPr>
              <w:t>（2）具有重点难点解决措施；</w:t>
            </w:r>
          </w:p>
          <w:p>
            <w:pPr>
              <w:autoSpaceDE w:val="0"/>
              <w:autoSpaceDN w:val="0"/>
              <w:adjustRightInd w:val="0"/>
              <w:snapToGrid w:val="0"/>
              <w:spacing w:line="360" w:lineRule="auto"/>
              <w:jc w:val="left"/>
              <w:textAlignment w:val="baseline"/>
              <w:rPr>
                <w:rFonts w:ascii="宋体" w:hAnsi="宋体" w:eastAsia="宋体" w:cs="宋体"/>
                <w:kern w:val="0"/>
                <w:szCs w:val="21"/>
              </w:rPr>
            </w:pPr>
            <w:r>
              <w:rPr>
                <w:rFonts w:hint="eastAsia" w:ascii="宋体" w:hAnsi="宋体" w:eastAsia="宋体" w:cs="宋体"/>
                <w:kern w:val="0"/>
                <w:szCs w:val="21"/>
              </w:rPr>
              <w:t>（3）具有合理化建议；</w:t>
            </w:r>
          </w:p>
          <w:p>
            <w:pPr>
              <w:autoSpaceDE w:val="0"/>
              <w:autoSpaceDN w:val="0"/>
              <w:adjustRightInd w:val="0"/>
              <w:snapToGrid w:val="0"/>
              <w:spacing w:line="360" w:lineRule="auto"/>
              <w:jc w:val="left"/>
              <w:textAlignment w:val="baseline"/>
              <w:rPr>
                <w:rFonts w:ascii="宋体" w:hAnsi="宋体" w:eastAsia="宋体" w:cs="宋体"/>
                <w:kern w:val="0"/>
                <w:szCs w:val="21"/>
              </w:rPr>
            </w:pPr>
            <w:r>
              <w:rPr>
                <w:rFonts w:hint="eastAsia" w:ascii="宋体" w:hAnsi="宋体" w:eastAsia="宋体" w:cs="宋体"/>
                <w:kern w:val="0"/>
                <w:szCs w:val="21"/>
              </w:rPr>
              <w:t>（4）具有各种管理规章制度。</w:t>
            </w:r>
          </w:p>
          <w:p>
            <w:pPr>
              <w:autoSpaceDE w:val="0"/>
              <w:autoSpaceDN w:val="0"/>
              <w:adjustRightInd w:val="0"/>
              <w:snapToGrid w:val="0"/>
              <w:spacing w:line="360" w:lineRule="auto"/>
              <w:jc w:val="left"/>
              <w:textAlignment w:val="baseline"/>
              <w:rPr>
                <w:rFonts w:ascii="宋体" w:hAnsi="宋体" w:eastAsia="宋体" w:cs="宋体"/>
                <w:kern w:val="0"/>
                <w:szCs w:val="21"/>
              </w:rPr>
            </w:pPr>
            <w:r>
              <w:rPr>
                <w:rFonts w:hint="eastAsia" w:ascii="宋体" w:hAnsi="宋体" w:eastAsia="宋体" w:cs="宋体"/>
                <w:kern w:val="0"/>
                <w:szCs w:val="21"/>
              </w:rPr>
              <w:t>投标人有提供上述四项内容得90分，提供上述任意三项内容得80分，提供上述任意两项内容得70分，提供上述任意一项内容得60分。</w:t>
            </w:r>
          </w:p>
          <w:p>
            <w:pPr>
              <w:autoSpaceDE w:val="0"/>
              <w:autoSpaceDN w:val="0"/>
              <w:adjustRightInd w:val="0"/>
              <w:snapToGrid w:val="0"/>
              <w:spacing w:line="360" w:lineRule="auto"/>
              <w:jc w:val="left"/>
              <w:textAlignment w:val="baseline"/>
              <w:rPr>
                <w:rFonts w:ascii="宋体" w:hAnsi="宋体" w:eastAsia="宋体" w:cs="宋体"/>
                <w:kern w:val="0"/>
                <w:szCs w:val="21"/>
              </w:rPr>
            </w:pPr>
            <w:r>
              <w:rPr>
                <w:rFonts w:hint="eastAsia" w:ascii="宋体" w:hAnsi="宋体" w:eastAsia="宋体" w:cs="宋体"/>
                <w:kern w:val="0"/>
                <w:szCs w:val="21"/>
              </w:rPr>
              <w:t>2.在此基础上，根据投标人的提供的内容按照对照以下标准进行评分：</w:t>
            </w:r>
          </w:p>
          <w:p>
            <w:pPr>
              <w:autoSpaceDE w:val="0"/>
              <w:autoSpaceDN w:val="0"/>
              <w:adjustRightInd w:val="0"/>
              <w:snapToGrid w:val="0"/>
              <w:spacing w:line="360" w:lineRule="auto"/>
              <w:jc w:val="left"/>
              <w:textAlignment w:val="baseline"/>
              <w:rPr>
                <w:rFonts w:ascii="宋体" w:hAnsi="宋体" w:eastAsia="宋体" w:cs="宋体"/>
                <w:kern w:val="0"/>
                <w:szCs w:val="21"/>
              </w:rPr>
            </w:pPr>
            <w:r>
              <w:rPr>
                <w:rFonts w:hint="eastAsia" w:ascii="宋体" w:hAnsi="宋体" w:eastAsia="宋体" w:cs="宋体"/>
                <w:kern w:val="0"/>
                <w:szCs w:val="21"/>
              </w:rPr>
              <w:t>（1）重点难点分析合理；</w:t>
            </w:r>
          </w:p>
          <w:p>
            <w:pPr>
              <w:autoSpaceDE w:val="0"/>
              <w:autoSpaceDN w:val="0"/>
              <w:adjustRightInd w:val="0"/>
              <w:snapToGrid w:val="0"/>
              <w:spacing w:line="360" w:lineRule="auto"/>
              <w:jc w:val="left"/>
              <w:textAlignment w:val="baseline"/>
              <w:rPr>
                <w:rFonts w:ascii="宋体" w:hAnsi="宋体" w:eastAsia="宋体" w:cs="宋体"/>
                <w:kern w:val="0"/>
                <w:szCs w:val="21"/>
              </w:rPr>
            </w:pPr>
            <w:r>
              <w:rPr>
                <w:rFonts w:hint="eastAsia" w:ascii="宋体" w:hAnsi="宋体" w:eastAsia="宋体" w:cs="宋体"/>
                <w:kern w:val="0"/>
                <w:szCs w:val="21"/>
              </w:rPr>
              <w:t>（2）重点难点内容具体；</w:t>
            </w:r>
          </w:p>
          <w:p>
            <w:pPr>
              <w:autoSpaceDE w:val="0"/>
              <w:autoSpaceDN w:val="0"/>
              <w:adjustRightInd w:val="0"/>
              <w:snapToGrid w:val="0"/>
              <w:spacing w:line="360" w:lineRule="auto"/>
              <w:jc w:val="left"/>
              <w:textAlignment w:val="baseline"/>
              <w:rPr>
                <w:rFonts w:ascii="宋体" w:hAnsi="宋体" w:eastAsia="宋体" w:cs="宋体"/>
                <w:kern w:val="0"/>
                <w:szCs w:val="21"/>
              </w:rPr>
            </w:pPr>
            <w:r>
              <w:rPr>
                <w:rFonts w:hint="eastAsia" w:ascii="宋体" w:hAnsi="宋体" w:eastAsia="宋体" w:cs="宋体"/>
                <w:kern w:val="0"/>
                <w:szCs w:val="21"/>
              </w:rPr>
              <w:t>（3）重点难点针对性强；</w:t>
            </w:r>
          </w:p>
          <w:p>
            <w:pPr>
              <w:autoSpaceDE w:val="0"/>
              <w:autoSpaceDN w:val="0"/>
              <w:adjustRightInd w:val="0"/>
              <w:snapToGrid w:val="0"/>
              <w:spacing w:line="360" w:lineRule="auto"/>
              <w:jc w:val="left"/>
              <w:textAlignment w:val="baseline"/>
              <w:rPr>
                <w:rFonts w:ascii="宋体" w:hAnsi="宋体" w:eastAsia="宋体" w:cs="宋体"/>
                <w:kern w:val="0"/>
                <w:szCs w:val="21"/>
              </w:rPr>
            </w:pPr>
            <w:r>
              <w:rPr>
                <w:rFonts w:hint="eastAsia" w:ascii="宋体" w:hAnsi="宋体" w:eastAsia="宋体" w:cs="宋体"/>
                <w:kern w:val="0"/>
                <w:szCs w:val="21"/>
              </w:rPr>
              <w:t>（4）应对措施可操作性强。</w:t>
            </w:r>
          </w:p>
          <w:p>
            <w:pPr>
              <w:autoSpaceDE w:val="0"/>
              <w:autoSpaceDN w:val="0"/>
              <w:adjustRightInd w:val="0"/>
              <w:snapToGrid w:val="0"/>
              <w:spacing w:line="360" w:lineRule="auto"/>
              <w:jc w:val="left"/>
              <w:textAlignment w:val="baseline"/>
              <w:rPr>
                <w:rFonts w:ascii="宋体" w:hAnsi="宋体" w:eastAsia="宋体" w:cs="宋体"/>
                <w:kern w:val="0"/>
                <w:szCs w:val="21"/>
              </w:rPr>
            </w:pPr>
            <w:r>
              <w:rPr>
                <w:rFonts w:hint="eastAsia" w:ascii="宋体" w:hAnsi="宋体" w:eastAsia="宋体" w:cs="宋体"/>
                <w:kern w:val="0"/>
                <w:szCs w:val="21"/>
              </w:rPr>
              <w:t>符合上述4项内容为优，得10分；</w:t>
            </w:r>
          </w:p>
          <w:p>
            <w:pPr>
              <w:autoSpaceDE w:val="0"/>
              <w:autoSpaceDN w:val="0"/>
              <w:adjustRightInd w:val="0"/>
              <w:snapToGrid w:val="0"/>
              <w:spacing w:line="360" w:lineRule="auto"/>
              <w:jc w:val="left"/>
              <w:textAlignment w:val="baseline"/>
              <w:rPr>
                <w:rFonts w:ascii="宋体" w:hAnsi="宋体" w:eastAsia="宋体" w:cs="宋体"/>
                <w:kern w:val="0"/>
                <w:szCs w:val="21"/>
              </w:rPr>
            </w:pPr>
            <w:r>
              <w:rPr>
                <w:rFonts w:hint="eastAsia" w:ascii="宋体" w:hAnsi="宋体" w:eastAsia="宋体" w:cs="宋体"/>
                <w:kern w:val="0"/>
                <w:szCs w:val="21"/>
              </w:rPr>
              <w:t>符合上述3项内容为良，得6分；</w:t>
            </w:r>
          </w:p>
          <w:p>
            <w:pPr>
              <w:autoSpaceDE w:val="0"/>
              <w:autoSpaceDN w:val="0"/>
              <w:adjustRightInd w:val="0"/>
              <w:snapToGrid w:val="0"/>
              <w:spacing w:line="360" w:lineRule="auto"/>
              <w:jc w:val="left"/>
              <w:textAlignment w:val="baseline"/>
              <w:rPr>
                <w:rFonts w:ascii="宋体" w:hAnsi="宋体" w:eastAsia="宋体" w:cs="宋体"/>
                <w:kern w:val="0"/>
                <w:szCs w:val="21"/>
              </w:rPr>
            </w:pPr>
            <w:r>
              <w:rPr>
                <w:rFonts w:hint="eastAsia" w:ascii="宋体" w:hAnsi="宋体" w:eastAsia="宋体" w:cs="宋体"/>
                <w:kern w:val="0"/>
                <w:szCs w:val="21"/>
              </w:rPr>
              <w:t>符合上述2项内容为中，得3分；</w:t>
            </w:r>
          </w:p>
          <w:p>
            <w:pPr>
              <w:adjustRightInd w:val="0"/>
              <w:snapToGrid w:val="0"/>
              <w:spacing w:line="360" w:lineRule="auto"/>
              <w:jc w:val="left"/>
              <w:rPr>
                <w:rFonts w:ascii="宋体" w:hAnsi="宋体" w:eastAsia="宋体" w:cs="宋体"/>
                <w:szCs w:val="21"/>
              </w:rPr>
            </w:pPr>
            <w:r>
              <w:rPr>
                <w:rFonts w:hint="eastAsia" w:ascii="宋体" w:hAnsi="宋体" w:eastAsia="宋体" w:cs="宋体"/>
                <w:szCs w:val="21"/>
              </w:rPr>
              <w:t>符合上述1项及以下内容为差，不得分。</w:t>
            </w:r>
          </w:p>
          <w:p>
            <w:pPr>
              <w:adjustRightInd w:val="0"/>
              <w:snapToGrid w:val="0"/>
              <w:spacing w:line="360" w:lineRule="auto"/>
              <w:jc w:val="left"/>
              <w:rPr>
                <w:rFonts w:ascii="宋体" w:hAnsi="宋体" w:eastAsia="宋体" w:cs="宋体"/>
                <w:szCs w:val="21"/>
              </w:rPr>
            </w:pPr>
            <w:r>
              <w:rPr>
                <w:rFonts w:hint="eastAsia" w:ascii="宋体" w:hAnsi="宋体" w:eastAsia="宋体" w:cs="宋体"/>
                <w:szCs w:val="21"/>
              </w:rPr>
              <w:t>以上两项累计得分，最高不超过100分。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59" w:type="dxa"/>
            <w:vMerge w:val="continue"/>
            <w:tcBorders>
              <w:left w:val="single" w:color="auto" w:sz="4" w:space="0"/>
              <w:right w:val="single" w:color="auto" w:sz="4" w:space="0"/>
            </w:tcBorders>
            <w:vAlign w:val="center"/>
          </w:tcPr>
          <w:p>
            <w:pPr>
              <w:widowControl/>
              <w:adjustRightInd w:val="0"/>
              <w:snapToGrid w:val="0"/>
              <w:jc w:val="center"/>
              <w:rPr>
                <w:rFonts w:ascii="宋体" w:hAnsi="宋体" w:eastAsia="宋体" w:cs="宋体"/>
                <w:szCs w:val="21"/>
              </w:rPr>
            </w:pPr>
          </w:p>
        </w:tc>
        <w:tc>
          <w:tcPr>
            <w:tcW w:w="70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eastAsia="宋体" w:cs="宋体"/>
                <w:szCs w:val="21"/>
              </w:rPr>
            </w:pPr>
            <w:r>
              <w:rPr>
                <w:rFonts w:hint="eastAsia" w:ascii="宋体" w:hAnsi="宋体" w:eastAsia="宋体" w:cs="宋体"/>
                <w:szCs w:val="21"/>
              </w:rPr>
              <w:t>3</w:t>
            </w:r>
          </w:p>
        </w:tc>
        <w:tc>
          <w:tcPr>
            <w:tcW w:w="1417"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eastAsia="宋体" w:cs="宋体"/>
                <w:szCs w:val="21"/>
              </w:rPr>
            </w:pPr>
            <w:r>
              <w:rPr>
                <w:rFonts w:hint="eastAsia" w:ascii="宋体" w:hAnsi="宋体" w:eastAsia="宋体" w:cs="宋体"/>
                <w:szCs w:val="21"/>
              </w:rPr>
              <w:t>项目培训方案（提供全面详尽的培训方案）</w:t>
            </w:r>
          </w:p>
        </w:tc>
        <w:tc>
          <w:tcPr>
            <w:tcW w:w="85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eastAsia="宋体" w:cs="宋体"/>
                <w:szCs w:val="21"/>
              </w:rPr>
            </w:pPr>
            <w:r>
              <w:rPr>
                <w:rFonts w:hint="eastAsia" w:ascii="宋体" w:hAnsi="宋体" w:eastAsia="宋体" w:cs="宋体"/>
                <w:szCs w:val="21"/>
              </w:rPr>
              <w:t>5</w:t>
            </w:r>
          </w:p>
        </w:tc>
        <w:tc>
          <w:tcPr>
            <w:tcW w:w="540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left"/>
              <w:rPr>
                <w:rFonts w:ascii="宋体" w:hAnsi="宋体" w:eastAsia="宋体" w:cs="宋体"/>
                <w:szCs w:val="21"/>
              </w:rPr>
            </w:pPr>
            <w:r>
              <w:rPr>
                <w:rFonts w:hint="eastAsia" w:ascii="宋体" w:hAnsi="宋体" w:eastAsia="宋体" w:cs="宋体"/>
                <w:szCs w:val="21"/>
              </w:rPr>
              <w:t>评审内容：</w:t>
            </w:r>
          </w:p>
          <w:p>
            <w:pPr>
              <w:adjustRightInd w:val="0"/>
              <w:snapToGrid w:val="0"/>
              <w:spacing w:line="360" w:lineRule="auto"/>
              <w:jc w:val="left"/>
              <w:rPr>
                <w:rFonts w:ascii="宋体" w:hAnsi="宋体" w:eastAsia="宋体" w:cs="宋体"/>
                <w:szCs w:val="21"/>
              </w:rPr>
            </w:pPr>
            <w:r>
              <w:rPr>
                <w:rFonts w:hint="eastAsia" w:ascii="宋体" w:hAnsi="宋体" w:eastAsia="宋体" w:cs="宋体"/>
                <w:szCs w:val="21"/>
              </w:rPr>
              <w:t>1.针对本项目提供全面、内容详尽、合理的培训方案，内容包括但不限于：岗前培训、工作技能提升培训。</w:t>
            </w:r>
          </w:p>
          <w:p>
            <w:pPr>
              <w:pStyle w:val="18"/>
              <w:rPr>
                <w:rFonts w:hAnsi="宋体" w:cs="宋体"/>
                <w:kern w:val="2"/>
                <w:sz w:val="21"/>
                <w:szCs w:val="21"/>
              </w:rPr>
            </w:pPr>
            <w:r>
              <w:rPr>
                <w:rFonts w:hint="eastAsia" w:hAnsi="宋体" w:cs="宋体"/>
                <w:kern w:val="2"/>
                <w:sz w:val="21"/>
                <w:szCs w:val="21"/>
              </w:rPr>
              <w:t>（1）方案具体性、全面性、合理性、针对性强，可操作性强，评审为优的得50分。</w:t>
            </w:r>
          </w:p>
          <w:p>
            <w:pPr>
              <w:pStyle w:val="18"/>
              <w:rPr>
                <w:rFonts w:hAnsi="宋体" w:cs="宋体"/>
                <w:kern w:val="2"/>
                <w:sz w:val="21"/>
                <w:szCs w:val="21"/>
              </w:rPr>
            </w:pPr>
            <w:r>
              <w:rPr>
                <w:rFonts w:hint="eastAsia" w:hAnsi="宋体" w:cs="宋体"/>
                <w:kern w:val="2"/>
                <w:sz w:val="21"/>
                <w:szCs w:val="21"/>
              </w:rPr>
              <w:t>（2）方案具有一定具体性、全面性、合理性、针对性、及可操作性，评审为良的得20分；</w:t>
            </w:r>
          </w:p>
          <w:p>
            <w:pPr>
              <w:pStyle w:val="18"/>
              <w:rPr>
                <w:rFonts w:hAnsi="宋体" w:cs="宋体"/>
                <w:kern w:val="2"/>
                <w:sz w:val="21"/>
                <w:szCs w:val="21"/>
              </w:rPr>
            </w:pPr>
            <w:r>
              <w:rPr>
                <w:rFonts w:hint="eastAsia" w:hAnsi="宋体" w:cs="宋体"/>
                <w:kern w:val="2"/>
                <w:sz w:val="21"/>
                <w:szCs w:val="21"/>
              </w:rPr>
              <w:t>（3）方案不尽具体全面，合理性、针对性一般、可操作性一般，评审为中的得10分；</w:t>
            </w:r>
          </w:p>
          <w:p>
            <w:pPr>
              <w:pStyle w:val="18"/>
              <w:rPr>
                <w:rFonts w:hAnsi="宋体" w:cs="宋体"/>
                <w:kern w:val="2"/>
                <w:sz w:val="21"/>
                <w:szCs w:val="21"/>
              </w:rPr>
            </w:pPr>
            <w:r>
              <w:rPr>
                <w:rFonts w:hint="eastAsia" w:hAnsi="宋体" w:cs="宋体"/>
                <w:kern w:val="2"/>
                <w:sz w:val="21"/>
                <w:szCs w:val="21"/>
              </w:rPr>
              <w:t>（4）方案不合理、简略、无针对性、无可操作性，评审为差的得0分。</w:t>
            </w:r>
          </w:p>
          <w:p>
            <w:pPr>
              <w:adjustRightInd w:val="0"/>
              <w:snapToGrid w:val="0"/>
              <w:spacing w:line="360" w:lineRule="auto"/>
              <w:jc w:val="left"/>
              <w:rPr>
                <w:rFonts w:ascii="宋体" w:hAnsi="宋体" w:eastAsia="宋体" w:cs="宋体"/>
                <w:szCs w:val="21"/>
              </w:rPr>
            </w:pPr>
            <w:r>
              <w:rPr>
                <w:rFonts w:hint="eastAsia" w:ascii="宋体" w:hAnsi="宋体" w:eastAsia="宋体" w:cs="宋体"/>
                <w:szCs w:val="21"/>
              </w:rPr>
              <w:t>2.提供相关培训活动证明得50分（不提供培训活动证明不得分）。</w:t>
            </w:r>
          </w:p>
          <w:p>
            <w:pPr>
              <w:adjustRightInd w:val="0"/>
              <w:snapToGrid w:val="0"/>
              <w:spacing w:line="360" w:lineRule="auto"/>
              <w:jc w:val="left"/>
              <w:rPr>
                <w:rFonts w:ascii="宋体" w:hAnsi="宋体" w:eastAsia="宋体" w:cs="宋体"/>
                <w:szCs w:val="21"/>
              </w:rPr>
            </w:pPr>
            <w:r>
              <w:rPr>
                <w:rFonts w:hint="eastAsia" w:ascii="宋体" w:hAnsi="宋体" w:eastAsia="宋体" w:cs="宋体"/>
                <w:szCs w:val="21"/>
              </w:rPr>
              <w:t>活动证明材料包含但不限于培训</w:t>
            </w:r>
            <w:r>
              <w:rPr>
                <w:rStyle w:val="62"/>
                <w:rFonts w:hint="eastAsia" w:ascii="宋体" w:hAnsi="宋体" w:eastAsia="宋体" w:cs="宋体"/>
              </w:rPr>
              <w:t>合作协议、培训课件、培训照片。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59" w:type="dxa"/>
            <w:vMerge w:val="continue"/>
            <w:tcBorders>
              <w:left w:val="single" w:color="auto" w:sz="4" w:space="0"/>
              <w:right w:val="single" w:color="auto" w:sz="4" w:space="0"/>
            </w:tcBorders>
            <w:vAlign w:val="center"/>
          </w:tcPr>
          <w:p>
            <w:pPr>
              <w:widowControl/>
              <w:adjustRightInd w:val="0"/>
              <w:snapToGrid w:val="0"/>
              <w:jc w:val="center"/>
              <w:rPr>
                <w:rFonts w:ascii="宋体" w:hAnsi="宋体" w:eastAsia="宋体" w:cs="宋体"/>
                <w:szCs w:val="21"/>
              </w:rPr>
            </w:pPr>
          </w:p>
        </w:tc>
        <w:tc>
          <w:tcPr>
            <w:tcW w:w="70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eastAsia="宋体" w:cs="宋体"/>
                <w:szCs w:val="21"/>
              </w:rPr>
            </w:pPr>
            <w:r>
              <w:rPr>
                <w:rFonts w:hint="eastAsia" w:ascii="宋体" w:hAnsi="宋体" w:eastAsia="宋体" w:cs="宋体"/>
                <w:szCs w:val="21"/>
              </w:rPr>
              <w:t>4</w:t>
            </w:r>
          </w:p>
        </w:tc>
        <w:tc>
          <w:tcPr>
            <w:tcW w:w="141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eastAsia="宋体" w:cs="宋体"/>
                <w:szCs w:val="21"/>
              </w:rPr>
            </w:pPr>
            <w:r>
              <w:rPr>
                <w:rFonts w:hint="eastAsia" w:ascii="宋体" w:hAnsi="宋体" w:eastAsia="宋体" w:cs="宋体"/>
                <w:szCs w:val="21"/>
              </w:rPr>
              <w:t>项目完成（服务期满）后的服务承诺</w:t>
            </w:r>
          </w:p>
        </w:tc>
        <w:tc>
          <w:tcPr>
            <w:tcW w:w="85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eastAsia="宋体" w:cs="宋体"/>
                <w:szCs w:val="21"/>
              </w:rPr>
            </w:pPr>
            <w:r>
              <w:rPr>
                <w:rFonts w:hint="eastAsia" w:ascii="宋体" w:hAnsi="宋体" w:eastAsia="宋体" w:cs="宋体"/>
                <w:szCs w:val="21"/>
              </w:rPr>
              <w:t>10</w:t>
            </w:r>
          </w:p>
        </w:tc>
        <w:tc>
          <w:tcPr>
            <w:tcW w:w="540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left"/>
              <w:rPr>
                <w:rFonts w:ascii="宋体" w:hAnsi="宋体" w:eastAsia="宋体" w:cs="宋体"/>
                <w:b/>
                <w:i/>
                <w:szCs w:val="21"/>
                <w:u w:val="single"/>
              </w:rPr>
            </w:pPr>
            <w:r>
              <w:rPr>
                <w:rFonts w:hint="eastAsia" w:ascii="宋体" w:hAnsi="宋体" w:eastAsia="宋体" w:cs="宋体"/>
                <w:szCs w:val="21"/>
              </w:rPr>
              <w:t>评审内容：</w:t>
            </w:r>
            <w:r>
              <w:rPr>
                <w:rFonts w:hint="eastAsia" w:ascii="宋体" w:hAnsi="宋体" w:eastAsia="宋体" w:cs="宋体"/>
                <w:kern w:val="0"/>
                <w:szCs w:val="21"/>
              </w:rPr>
              <w:t>针对本项目的需求制定项目完成（服务期满）后的服务承诺。</w:t>
            </w:r>
          </w:p>
          <w:p>
            <w:pPr>
              <w:widowControl/>
              <w:adjustRightInd w:val="0"/>
              <w:snapToGrid w:val="0"/>
              <w:spacing w:line="360" w:lineRule="auto"/>
              <w:jc w:val="left"/>
              <w:textAlignment w:val="center"/>
              <w:rPr>
                <w:rFonts w:ascii="宋体" w:hAnsi="宋体" w:eastAsia="宋体" w:cs="宋体"/>
                <w:kern w:val="0"/>
                <w:szCs w:val="21"/>
              </w:rPr>
            </w:pPr>
            <w:r>
              <w:rPr>
                <w:rFonts w:hint="eastAsia" w:ascii="宋体" w:hAnsi="宋体" w:eastAsia="宋体" w:cs="宋体"/>
                <w:kern w:val="0"/>
                <w:szCs w:val="21"/>
              </w:rPr>
              <w:t>评分标准：</w:t>
            </w:r>
          </w:p>
          <w:p>
            <w:pPr>
              <w:widowControl/>
              <w:adjustRightInd w:val="0"/>
              <w:snapToGrid w:val="0"/>
              <w:spacing w:line="360" w:lineRule="auto"/>
              <w:jc w:val="left"/>
              <w:textAlignment w:val="center"/>
              <w:rPr>
                <w:rFonts w:ascii="宋体" w:hAnsi="宋体" w:eastAsia="宋体" w:cs="宋体"/>
                <w:kern w:val="0"/>
                <w:szCs w:val="21"/>
              </w:rPr>
            </w:pPr>
            <w:r>
              <w:rPr>
                <w:rFonts w:hint="eastAsia" w:ascii="宋体" w:hAnsi="宋体" w:eastAsia="宋体" w:cs="宋体"/>
                <w:kern w:val="0"/>
                <w:szCs w:val="21"/>
              </w:rPr>
              <w:t>（1）项目完成（服务期满）后的服务承诺内容全面；</w:t>
            </w:r>
          </w:p>
          <w:p>
            <w:pPr>
              <w:widowControl/>
              <w:adjustRightInd w:val="0"/>
              <w:snapToGrid w:val="0"/>
              <w:spacing w:line="360" w:lineRule="auto"/>
              <w:jc w:val="left"/>
              <w:textAlignment w:val="center"/>
              <w:rPr>
                <w:rFonts w:ascii="宋体" w:hAnsi="宋体" w:eastAsia="宋体" w:cs="宋体"/>
                <w:kern w:val="0"/>
                <w:szCs w:val="21"/>
              </w:rPr>
            </w:pPr>
            <w:r>
              <w:rPr>
                <w:rFonts w:hint="eastAsia" w:ascii="宋体" w:hAnsi="宋体" w:eastAsia="宋体" w:cs="宋体"/>
                <w:kern w:val="0"/>
                <w:szCs w:val="21"/>
              </w:rPr>
              <w:t>（2）项目完成（服务期满）后的服务承诺内容具体；</w:t>
            </w:r>
          </w:p>
          <w:p>
            <w:pPr>
              <w:widowControl/>
              <w:adjustRightInd w:val="0"/>
              <w:snapToGrid w:val="0"/>
              <w:spacing w:line="360" w:lineRule="auto"/>
              <w:jc w:val="left"/>
              <w:textAlignment w:val="center"/>
              <w:rPr>
                <w:rFonts w:ascii="宋体" w:hAnsi="宋体" w:eastAsia="宋体" w:cs="宋体"/>
                <w:kern w:val="0"/>
                <w:szCs w:val="21"/>
              </w:rPr>
            </w:pPr>
            <w:r>
              <w:rPr>
                <w:rFonts w:hint="eastAsia" w:ascii="宋体" w:hAnsi="宋体" w:eastAsia="宋体" w:cs="宋体"/>
                <w:kern w:val="0"/>
                <w:szCs w:val="21"/>
              </w:rPr>
              <w:t>（3）项目完成（服务期满）后的服务承诺内容针对性强；</w:t>
            </w:r>
          </w:p>
          <w:p>
            <w:pPr>
              <w:widowControl/>
              <w:adjustRightInd w:val="0"/>
              <w:snapToGrid w:val="0"/>
              <w:spacing w:line="360" w:lineRule="auto"/>
              <w:jc w:val="left"/>
              <w:textAlignment w:val="center"/>
              <w:rPr>
                <w:rFonts w:ascii="宋体" w:hAnsi="宋体" w:eastAsia="宋体" w:cs="宋体"/>
                <w:kern w:val="0"/>
                <w:szCs w:val="21"/>
              </w:rPr>
            </w:pPr>
            <w:r>
              <w:rPr>
                <w:rFonts w:hint="eastAsia" w:ascii="宋体" w:hAnsi="宋体" w:eastAsia="宋体" w:cs="宋体"/>
                <w:kern w:val="0"/>
                <w:szCs w:val="21"/>
              </w:rPr>
              <w:t>满足以上三项要求得100分；</w:t>
            </w:r>
          </w:p>
          <w:p>
            <w:pPr>
              <w:widowControl/>
              <w:adjustRightInd w:val="0"/>
              <w:snapToGrid w:val="0"/>
              <w:spacing w:line="360" w:lineRule="auto"/>
              <w:jc w:val="left"/>
              <w:textAlignment w:val="center"/>
              <w:rPr>
                <w:rFonts w:ascii="宋体" w:hAnsi="宋体" w:eastAsia="宋体" w:cs="宋体"/>
                <w:kern w:val="0"/>
                <w:szCs w:val="21"/>
              </w:rPr>
            </w:pPr>
            <w:r>
              <w:rPr>
                <w:rFonts w:hint="eastAsia" w:ascii="宋体" w:hAnsi="宋体" w:eastAsia="宋体" w:cs="宋体"/>
                <w:kern w:val="0"/>
                <w:szCs w:val="21"/>
              </w:rPr>
              <w:t>满足以上两项要求60分；</w:t>
            </w:r>
          </w:p>
          <w:p>
            <w:pPr>
              <w:widowControl/>
              <w:adjustRightInd w:val="0"/>
              <w:snapToGrid w:val="0"/>
              <w:spacing w:line="360" w:lineRule="auto"/>
              <w:jc w:val="left"/>
              <w:textAlignment w:val="center"/>
              <w:rPr>
                <w:rFonts w:ascii="宋体" w:hAnsi="宋体" w:eastAsia="宋体" w:cs="宋体"/>
                <w:kern w:val="0"/>
                <w:szCs w:val="21"/>
              </w:rPr>
            </w:pPr>
            <w:r>
              <w:rPr>
                <w:rFonts w:hint="eastAsia" w:ascii="宋体" w:hAnsi="宋体" w:eastAsia="宋体" w:cs="宋体"/>
                <w:kern w:val="0"/>
                <w:szCs w:val="21"/>
              </w:rPr>
              <w:t>满足以上一项要求得30分；</w:t>
            </w:r>
          </w:p>
          <w:p>
            <w:pPr>
              <w:adjustRightInd w:val="0"/>
              <w:snapToGrid w:val="0"/>
              <w:spacing w:line="360" w:lineRule="auto"/>
              <w:jc w:val="left"/>
              <w:rPr>
                <w:rFonts w:ascii="宋体" w:hAnsi="宋体" w:eastAsia="宋体" w:cs="宋体"/>
                <w:szCs w:val="21"/>
              </w:rPr>
            </w:pPr>
            <w:r>
              <w:rPr>
                <w:rFonts w:hint="eastAsia" w:ascii="宋体" w:hAnsi="宋体" w:eastAsia="宋体" w:cs="宋体"/>
                <w:szCs w:val="21"/>
              </w:rPr>
              <w:t>其它情况不得分。</w:t>
            </w:r>
          </w:p>
          <w:p>
            <w:pPr>
              <w:adjustRightInd w:val="0"/>
              <w:snapToGrid w:val="0"/>
              <w:spacing w:line="360" w:lineRule="auto"/>
              <w:jc w:val="left"/>
              <w:rPr>
                <w:rFonts w:ascii="宋体" w:hAnsi="宋体" w:eastAsia="宋体" w:cs="宋体"/>
                <w:szCs w:val="21"/>
              </w:rPr>
            </w:pPr>
            <w:r>
              <w:rPr>
                <w:rFonts w:hint="eastAsia" w:ascii="宋体" w:hAnsi="宋体" w:eastAsia="宋体" w:cs="宋体"/>
                <w:szCs w:val="21"/>
                <w:lang w:val="zh-TW" w:eastAsia="zh-TW"/>
              </w:rPr>
              <w:t>要求提供承诺函（格式自定）作为得分依据，未提供承诺函不得分。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59" w:type="dxa"/>
            <w:vMerge w:val="continue"/>
            <w:tcBorders>
              <w:left w:val="single" w:color="auto" w:sz="4" w:space="0"/>
              <w:right w:val="single" w:color="auto" w:sz="4" w:space="0"/>
            </w:tcBorders>
            <w:vAlign w:val="center"/>
          </w:tcPr>
          <w:p>
            <w:pPr>
              <w:widowControl/>
              <w:adjustRightInd w:val="0"/>
              <w:snapToGrid w:val="0"/>
              <w:jc w:val="center"/>
              <w:rPr>
                <w:rFonts w:ascii="宋体" w:hAnsi="宋体" w:eastAsia="宋体" w:cs="宋体"/>
                <w:szCs w:val="21"/>
              </w:rPr>
            </w:pPr>
          </w:p>
        </w:tc>
        <w:tc>
          <w:tcPr>
            <w:tcW w:w="70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eastAsia="宋体" w:cs="宋体"/>
                <w:szCs w:val="21"/>
              </w:rPr>
            </w:pPr>
            <w:r>
              <w:rPr>
                <w:rFonts w:hint="eastAsia" w:ascii="宋体" w:hAnsi="宋体" w:eastAsia="宋体" w:cs="宋体"/>
                <w:szCs w:val="21"/>
              </w:rPr>
              <w:t>5</w:t>
            </w:r>
          </w:p>
        </w:tc>
        <w:tc>
          <w:tcPr>
            <w:tcW w:w="1417"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eastAsia="宋体" w:cs="宋体"/>
                <w:szCs w:val="21"/>
              </w:rPr>
            </w:pPr>
          </w:p>
          <w:p>
            <w:pPr>
              <w:adjustRightInd w:val="0"/>
              <w:snapToGrid w:val="0"/>
              <w:jc w:val="center"/>
              <w:rPr>
                <w:rFonts w:ascii="宋体" w:hAnsi="宋体" w:eastAsia="宋体" w:cs="宋体"/>
                <w:szCs w:val="21"/>
              </w:rPr>
            </w:pPr>
            <w:r>
              <w:rPr>
                <w:rFonts w:hint="eastAsia" w:ascii="宋体" w:hAnsi="宋体" w:eastAsia="宋体" w:cs="宋体"/>
                <w:szCs w:val="21"/>
              </w:rPr>
              <w:t>专业招聘渠道</w:t>
            </w:r>
          </w:p>
        </w:tc>
        <w:tc>
          <w:tcPr>
            <w:tcW w:w="85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eastAsia="宋体" w:cs="宋体"/>
                <w:szCs w:val="21"/>
              </w:rPr>
            </w:pPr>
            <w:r>
              <w:rPr>
                <w:rFonts w:hint="eastAsia" w:ascii="宋体" w:hAnsi="宋体" w:eastAsia="宋体" w:cs="宋体"/>
                <w:szCs w:val="21"/>
              </w:rPr>
              <w:t>5</w:t>
            </w:r>
          </w:p>
        </w:tc>
        <w:tc>
          <w:tcPr>
            <w:tcW w:w="540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left"/>
              <w:rPr>
                <w:rFonts w:ascii="宋体" w:hAnsi="宋体" w:eastAsia="宋体" w:cs="宋体"/>
                <w:szCs w:val="21"/>
              </w:rPr>
            </w:pPr>
            <w:r>
              <w:rPr>
                <w:rFonts w:hint="eastAsia" w:ascii="宋体" w:hAnsi="宋体" w:eastAsia="宋体" w:cs="宋体"/>
                <w:szCs w:val="21"/>
              </w:rPr>
              <w:t>评审内容：</w:t>
            </w:r>
          </w:p>
          <w:p>
            <w:pPr>
              <w:numPr>
                <w:ilvl w:val="0"/>
                <w:numId w:val="9"/>
              </w:numPr>
              <w:adjustRightInd w:val="0"/>
              <w:snapToGrid w:val="0"/>
              <w:spacing w:line="360" w:lineRule="auto"/>
              <w:jc w:val="left"/>
              <w:rPr>
                <w:rFonts w:ascii="宋体" w:hAnsi="宋体" w:eastAsia="宋体" w:cs="宋体"/>
                <w:szCs w:val="21"/>
              </w:rPr>
            </w:pPr>
            <w:r>
              <w:rPr>
                <w:rFonts w:hint="eastAsia" w:ascii="宋体" w:hAnsi="宋体" w:eastAsia="宋体" w:cs="宋体"/>
                <w:szCs w:val="21"/>
              </w:rPr>
              <w:t>供应商拥有自营网络招聘平台的，得40分（提供域名证书或其他证明材料及网络截图）。</w:t>
            </w:r>
          </w:p>
          <w:p>
            <w:pPr>
              <w:numPr>
                <w:ilvl w:val="0"/>
                <w:numId w:val="9"/>
              </w:numPr>
              <w:adjustRightInd w:val="0"/>
              <w:snapToGrid w:val="0"/>
              <w:spacing w:line="360" w:lineRule="auto"/>
              <w:jc w:val="left"/>
              <w:rPr>
                <w:rFonts w:ascii="宋体" w:hAnsi="宋体" w:eastAsia="宋体" w:cs="宋体"/>
                <w:szCs w:val="21"/>
              </w:rPr>
            </w:pPr>
            <w:r>
              <w:rPr>
                <w:rFonts w:hint="eastAsia" w:ascii="宋体" w:hAnsi="宋体" w:eastAsia="宋体" w:cs="宋体"/>
                <w:szCs w:val="21"/>
              </w:rPr>
              <w:t>供应商有与副省级或以上就业服务局/就业管理局合作的得60分（提供网站截图）</w:t>
            </w:r>
          </w:p>
          <w:p>
            <w:pPr>
              <w:adjustRightInd w:val="0"/>
              <w:snapToGrid w:val="0"/>
              <w:spacing w:line="360" w:lineRule="auto"/>
              <w:jc w:val="left"/>
              <w:rPr>
                <w:rFonts w:ascii="宋体" w:hAnsi="宋体" w:eastAsia="宋体" w:cs="宋体"/>
                <w:szCs w:val="21"/>
              </w:rPr>
            </w:pPr>
            <w:r>
              <w:rPr>
                <w:rFonts w:hint="eastAsia" w:ascii="宋体" w:hAnsi="宋体" w:eastAsia="宋体" w:cs="宋体"/>
                <w:szCs w:val="21"/>
              </w:rPr>
              <w:t>以上2小项累计得分，最高得100分。</w:t>
            </w:r>
          </w:p>
          <w:p>
            <w:pPr>
              <w:adjustRightInd w:val="0"/>
              <w:snapToGrid w:val="0"/>
              <w:spacing w:line="360" w:lineRule="auto"/>
              <w:jc w:val="left"/>
              <w:rPr>
                <w:rFonts w:ascii="宋体" w:hAnsi="宋体" w:eastAsia="宋体" w:cs="宋体"/>
                <w:szCs w:val="21"/>
              </w:rPr>
            </w:pPr>
            <w:r>
              <w:rPr>
                <w:rFonts w:hint="eastAsia" w:ascii="宋体" w:hAnsi="宋体" w:eastAsia="宋体" w:cs="宋体"/>
                <w:szCs w:val="21"/>
              </w:rPr>
              <w:t>未按要求提供或提供不清晰导致专家无法判断的不得分。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59" w:type="dxa"/>
            <w:tcBorders>
              <w:left w:val="single" w:color="auto" w:sz="4" w:space="0"/>
              <w:right w:val="single" w:color="auto" w:sz="4" w:space="0"/>
            </w:tcBorders>
            <w:vAlign w:val="center"/>
          </w:tcPr>
          <w:p>
            <w:pPr>
              <w:widowControl/>
              <w:adjustRightInd w:val="0"/>
              <w:snapToGrid w:val="0"/>
              <w:jc w:val="center"/>
              <w:rPr>
                <w:rFonts w:ascii="宋体" w:hAnsi="宋体" w:eastAsia="宋体" w:cs="宋体"/>
                <w:szCs w:val="21"/>
              </w:rPr>
            </w:pPr>
          </w:p>
        </w:tc>
        <w:tc>
          <w:tcPr>
            <w:tcW w:w="70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eastAsia="宋体" w:cs="宋体"/>
                <w:szCs w:val="21"/>
              </w:rPr>
            </w:pPr>
            <w:r>
              <w:rPr>
                <w:rFonts w:hint="eastAsia" w:ascii="宋体" w:hAnsi="宋体" w:eastAsia="宋体" w:cs="宋体"/>
                <w:szCs w:val="21"/>
              </w:rPr>
              <w:t>6</w:t>
            </w:r>
          </w:p>
        </w:tc>
        <w:tc>
          <w:tcPr>
            <w:tcW w:w="141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eastAsia="宋体" w:cs="宋体"/>
                <w:b/>
                <w:bCs/>
                <w:szCs w:val="21"/>
              </w:rPr>
            </w:pPr>
            <w:r>
              <w:rPr>
                <w:rFonts w:hint="eastAsia" w:ascii="宋体" w:hAnsi="宋体" w:eastAsia="宋体" w:cs="宋体"/>
                <w:szCs w:val="21"/>
              </w:rPr>
              <w:t>违约承诺</w:t>
            </w:r>
          </w:p>
        </w:tc>
        <w:tc>
          <w:tcPr>
            <w:tcW w:w="85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eastAsia="宋体" w:cs="宋体"/>
                <w:szCs w:val="21"/>
              </w:rPr>
            </w:pPr>
            <w:r>
              <w:rPr>
                <w:rFonts w:hint="eastAsia" w:ascii="宋体" w:hAnsi="宋体" w:eastAsia="宋体" w:cs="宋体"/>
                <w:szCs w:val="21"/>
              </w:rPr>
              <w:t>5</w:t>
            </w:r>
          </w:p>
        </w:tc>
        <w:tc>
          <w:tcPr>
            <w:tcW w:w="540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left"/>
              <w:rPr>
                <w:rFonts w:ascii="宋体" w:hAnsi="宋体" w:eastAsia="宋体" w:cs="宋体"/>
                <w:b/>
                <w:i/>
                <w:szCs w:val="21"/>
                <w:u w:val="single"/>
              </w:rPr>
            </w:pPr>
            <w:r>
              <w:rPr>
                <w:rFonts w:hint="eastAsia" w:ascii="宋体" w:hAnsi="宋体" w:eastAsia="宋体" w:cs="宋体"/>
                <w:szCs w:val="21"/>
              </w:rPr>
              <w:t>评审内容：</w:t>
            </w:r>
            <w:r>
              <w:rPr>
                <w:rFonts w:hint="eastAsia" w:ascii="宋体" w:hAnsi="宋体" w:eastAsia="宋体" w:cs="宋体"/>
                <w:color w:val="000000"/>
                <w:szCs w:val="21"/>
                <w:lang w:bidi="ar"/>
              </w:rPr>
              <w:t>投标人中标后对项目的履约承诺和违约赔偿承诺。</w:t>
            </w:r>
          </w:p>
          <w:p>
            <w:pPr>
              <w:widowControl/>
              <w:adjustRightInd w:val="0"/>
              <w:snapToGrid w:val="0"/>
              <w:spacing w:line="360" w:lineRule="auto"/>
              <w:jc w:val="left"/>
              <w:textAlignment w:val="center"/>
              <w:rPr>
                <w:rFonts w:ascii="宋体" w:hAnsi="宋体" w:eastAsia="宋体" w:cs="宋体"/>
                <w:kern w:val="0"/>
                <w:szCs w:val="21"/>
              </w:rPr>
            </w:pPr>
            <w:r>
              <w:rPr>
                <w:rFonts w:hint="eastAsia" w:ascii="宋体" w:hAnsi="宋体" w:eastAsia="宋体" w:cs="宋体"/>
                <w:kern w:val="0"/>
                <w:szCs w:val="21"/>
              </w:rPr>
              <w:t>评分标准：</w:t>
            </w:r>
          </w:p>
          <w:p>
            <w:pPr>
              <w:widowControl/>
              <w:adjustRightInd w:val="0"/>
              <w:snapToGrid w:val="0"/>
              <w:spacing w:line="360" w:lineRule="auto"/>
              <w:jc w:val="left"/>
              <w:textAlignment w:val="center"/>
              <w:rPr>
                <w:rFonts w:ascii="宋体" w:hAnsi="宋体" w:eastAsia="宋体" w:cs="宋体"/>
                <w:kern w:val="0"/>
                <w:szCs w:val="21"/>
              </w:rPr>
            </w:pPr>
            <w:r>
              <w:rPr>
                <w:rFonts w:hint="eastAsia" w:ascii="宋体" w:hAnsi="宋体" w:eastAsia="宋体" w:cs="宋体"/>
                <w:kern w:val="0"/>
                <w:szCs w:val="21"/>
              </w:rPr>
              <w:t>（1）违约承诺内容全面；</w:t>
            </w:r>
          </w:p>
          <w:p>
            <w:pPr>
              <w:widowControl/>
              <w:adjustRightInd w:val="0"/>
              <w:snapToGrid w:val="0"/>
              <w:spacing w:line="360" w:lineRule="auto"/>
              <w:jc w:val="left"/>
              <w:textAlignment w:val="center"/>
              <w:rPr>
                <w:rFonts w:ascii="宋体" w:hAnsi="宋体" w:eastAsia="宋体" w:cs="宋体"/>
                <w:kern w:val="0"/>
                <w:szCs w:val="21"/>
              </w:rPr>
            </w:pPr>
            <w:r>
              <w:rPr>
                <w:rFonts w:hint="eastAsia" w:ascii="宋体" w:hAnsi="宋体" w:eastAsia="宋体" w:cs="宋体"/>
                <w:kern w:val="0"/>
                <w:szCs w:val="21"/>
              </w:rPr>
              <w:t>（2）违约承诺内容具体；</w:t>
            </w:r>
          </w:p>
          <w:p>
            <w:pPr>
              <w:widowControl/>
              <w:adjustRightInd w:val="0"/>
              <w:snapToGrid w:val="0"/>
              <w:spacing w:line="360" w:lineRule="auto"/>
              <w:jc w:val="left"/>
              <w:textAlignment w:val="center"/>
              <w:rPr>
                <w:rFonts w:ascii="宋体" w:hAnsi="宋体" w:eastAsia="宋体" w:cs="宋体"/>
                <w:kern w:val="0"/>
                <w:szCs w:val="21"/>
              </w:rPr>
            </w:pPr>
            <w:r>
              <w:rPr>
                <w:rFonts w:hint="eastAsia" w:ascii="宋体" w:hAnsi="宋体" w:eastAsia="宋体" w:cs="宋体"/>
                <w:kern w:val="0"/>
                <w:szCs w:val="21"/>
              </w:rPr>
              <w:t>（3）违约承诺内容科学合理；</w:t>
            </w:r>
          </w:p>
          <w:p>
            <w:pPr>
              <w:adjustRightInd w:val="0"/>
              <w:snapToGrid w:val="0"/>
              <w:spacing w:line="360" w:lineRule="auto"/>
              <w:jc w:val="left"/>
              <w:rPr>
                <w:rFonts w:ascii="宋体" w:hAnsi="宋体" w:eastAsia="宋体" w:cs="宋体"/>
                <w:szCs w:val="21"/>
              </w:rPr>
            </w:pPr>
            <w:r>
              <w:rPr>
                <w:rFonts w:hint="eastAsia" w:ascii="宋体" w:hAnsi="宋体" w:eastAsia="宋体" w:cs="宋体"/>
                <w:kern w:val="0"/>
                <w:szCs w:val="21"/>
              </w:rPr>
              <w:t>满足以上三项要求得100分；</w:t>
            </w:r>
            <w:r>
              <w:rPr>
                <w:rFonts w:hint="eastAsia" w:ascii="宋体" w:hAnsi="宋体" w:eastAsia="宋体" w:cs="宋体"/>
                <w:szCs w:val="21"/>
              </w:rPr>
              <w:t>其它情况不得分。</w:t>
            </w:r>
          </w:p>
          <w:p>
            <w:pPr>
              <w:adjustRightInd w:val="0"/>
              <w:snapToGrid w:val="0"/>
              <w:spacing w:line="360" w:lineRule="auto"/>
              <w:jc w:val="left"/>
              <w:rPr>
                <w:rFonts w:ascii="宋体" w:hAnsi="宋体" w:eastAsia="宋体" w:cs="宋体"/>
                <w:szCs w:val="21"/>
                <w:lang w:val="zh-TW"/>
              </w:rPr>
            </w:pPr>
            <w:r>
              <w:rPr>
                <w:rFonts w:hint="eastAsia" w:ascii="宋体" w:hAnsi="宋体" w:eastAsia="宋体" w:cs="宋体"/>
                <w:szCs w:val="21"/>
                <w:lang w:val="zh-TW" w:eastAsia="zh-TW"/>
              </w:rPr>
              <w:t>要求提供承诺函（格式自定）作为得分依据，未提供承诺函不得分。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5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eastAsia="宋体" w:cs="宋体"/>
                <w:szCs w:val="21"/>
              </w:rPr>
            </w:pPr>
            <w:r>
              <w:rPr>
                <w:rFonts w:hint="eastAsia" w:ascii="宋体" w:hAnsi="宋体" w:eastAsia="宋体" w:cs="宋体"/>
                <w:szCs w:val="21"/>
              </w:rPr>
              <w:t>3</w:t>
            </w:r>
          </w:p>
        </w:tc>
        <w:tc>
          <w:tcPr>
            <w:tcW w:w="2977"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eastAsia="宋体" w:cs="宋体"/>
                <w:szCs w:val="21"/>
              </w:rPr>
            </w:pPr>
            <w:r>
              <w:rPr>
                <w:rFonts w:hint="eastAsia" w:ascii="宋体" w:hAnsi="宋体" w:eastAsia="宋体" w:cs="宋体"/>
                <w:szCs w:val="21"/>
              </w:rPr>
              <w:t>综合实力</w:t>
            </w:r>
          </w:p>
        </w:tc>
        <w:tc>
          <w:tcPr>
            <w:tcW w:w="540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eastAsia="宋体" w:cs="宋体"/>
                <w:szCs w:val="21"/>
              </w:rPr>
            </w:pPr>
            <w:r>
              <w:rPr>
                <w:rFonts w:hint="eastAsia" w:ascii="宋体" w:hAnsi="宋体" w:eastAsia="宋体" w:cs="宋体"/>
                <w:szCs w:val="21"/>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59" w:type="dxa"/>
            <w:vMerge w:val="restart"/>
            <w:tcBorders>
              <w:top w:val="single" w:color="auto" w:sz="4" w:space="0"/>
              <w:left w:val="single" w:color="auto" w:sz="4" w:space="0"/>
              <w:right w:val="single" w:color="auto" w:sz="4" w:space="0"/>
            </w:tcBorders>
            <w:vAlign w:val="center"/>
          </w:tcPr>
          <w:p>
            <w:pPr>
              <w:adjustRightInd w:val="0"/>
              <w:snapToGrid w:val="0"/>
              <w:jc w:val="center"/>
              <w:rPr>
                <w:rFonts w:ascii="宋体" w:hAnsi="宋体" w:eastAsia="宋体" w:cs="宋体"/>
                <w:szCs w:val="21"/>
              </w:rPr>
            </w:pPr>
          </w:p>
        </w:tc>
        <w:tc>
          <w:tcPr>
            <w:tcW w:w="70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eastAsia="宋体" w:cs="宋体"/>
                <w:szCs w:val="21"/>
              </w:rPr>
            </w:pPr>
            <w:r>
              <w:rPr>
                <w:rFonts w:hint="eastAsia" w:ascii="宋体" w:hAnsi="宋体" w:eastAsia="宋体" w:cs="宋体"/>
                <w:szCs w:val="21"/>
              </w:rPr>
              <w:t>序号</w:t>
            </w:r>
          </w:p>
        </w:tc>
        <w:tc>
          <w:tcPr>
            <w:tcW w:w="141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eastAsia="宋体" w:cs="宋体"/>
                <w:szCs w:val="21"/>
              </w:rPr>
            </w:pPr>
            <w:r>
              <w:rPr>
                <w:rFonts w:hint="eastAsia" w:ascii="宋体" w:hAnsi="宋体" w:eastAsia="宋体" w:cs="宋体"/>
                <w:szCs w:val="21"/>
              </w:rPr>
              <w:t>评分因素</w:t>
            </w:r>
          </w:p>
        </w:tc>
        <w:tc>
          <w:tcPr>
            <w:tcW w:w="85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eastAsia="宋体" w:cs="宋体"/>
                <w:szCs w:val="21"/>
              </w:rPr>
            </w:pPr>
            <w:r>
              <w:rPr>
                <w:rFonts w:hint="eastAsia" w:ascii="宋体" w:hAnsi="宋体" w:eastAsia="宋体" w:cs="宋体"/>
                <w:szCs w:val="21"/>
              </w:rPr>
              <w:t>权重</w:t>
            </w:r>
          </w:p>
        </w:tc>
        <w:tc>
          <w:tcPr>
            <w:tcW w:w="540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eastAsia="宋体" w:cs="宋体"/>
                <w:szCs w:val="21"/>
              </w:rPr>
            </w:pPr>
            <w:r>
              <w:rPr>
                <w:rFonts w:hint="eastAsia" w:ascii="宋体" w:hAnsi="宋体" w:eastAsia="宋体" w:cs="宋体"/>
                <w:szCs w:val="21"/>
              </w:rPr>
              <w:t>评分准则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59" w:type="dxa"/>
            <w:vMerge w:val="continue"/>
            <w:tcBorders>
              <w:left w:val="single" w:color="auto" w:sz="4" w:space="0"/>
              <w:right w:val="single" w:color="auto" w:sz="4" w:space="0"/>
            </w:tcBorders>
            <w:vAlign w:val="center"/>
          </w:tcPr>
          <w:p>
            <w:pPr>
              <w:widowControl/>
              <w:adjustRightInd w:val="0"/>
              <w:snapToGrid w:val="0"/>
              <w:jc w:val="center"/>
              <w:rPr>
                <w:rFonts w:ascii="宋体" w:hAnsi="宋体" w:eastAsia="宋体" w:cs="宋体"/>
                <w:szCs w:val="21"/>
              </w:rPr>
            </w:pPr>
          </w:p>
        </w:tc>
        <w:tc>
          <w:tcPr>
            <w:tcW w:w="70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eastAsia="宋体" w:cs="宋体"/>
                <w:szCs w:val="21"/>
              </w:rPr>
            </w:pPr>
            <w:r>
              <w:rPr>
                <w:rFonts w:hint="eastAsia" w:ascii="宋体" w:hAnsi="宋体" w:eastAsia="宋体" w:cs="宋体"/>
                <w:szCs w:val="21"/>
              </w:rPr>
              <w:t>1</w:t>
            </w:r>
          </w:p>
        </w:tc>
        <w:tc>
          <w:tcPr>
            <w:tcW w:w="141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eastAsia="宋体" w:cs="宋体"/>
                <w:szCs w:val="21"/>
              </w:rPr>
            </w:pPr>
            <w:r>
              <w:rPr>
                <w:rFonts w:hint="eastAsia" w:ascii="宋体" w:hAnsi="宋体" w:eastAsia="宋体" w:cs="宋体"/>
                <w:szCs w:val="21"/>
              </w:rPr>
              <w:t>投标人通过相关认证情况</w:t>
            </w:r>
          </w:p>
        </w:tc>
        <w:tc>
          <w:tcPr>
            <w:tcW w:w="85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eastAsia="宋体" w:cs="宋体"/>
                <w:szCs w:val="21"/>
              </w:rPr>
            </w:pPr>
            <w:r>
              <w:rPr>
                <w:rFonts w:hint="eastAsia" w:ascii="宋体" w:hAnsi="宋体" w:eastAsia="宋体" w:cs="宋体"/>
                <w:szCs w:val="21"/>
              </w:rPr>
              <w:t>5</w:t>
            </w:r>
          </w:p>
        </w:tc>
        <w:tc>
          <w:tcPr>
            <w:tcW w:w="5403" w:type="dxa"/>
            <w:tcBorders>
              <w:top w:val="single" w:color="auto" w:sz="4" w:space="0"/>
              <w:left w:val="single" w:color="auto" w:sz="4" w:space="0"/>
              <w:bottom w:val="single" w:color="auto" w:sz="4" w:space="0"/>
              <w:right w:val="single" w:color="auto" w:sz="4" w:space="0"/>
            </w:tcBorders>
            <w:vAlign w:val="center"/>
          </w:tcPr>
          <w:p>
            <w:pPr>
              <w:numPr>
                <w:ilvl w:val="0"/>
                <w:numId w:val="10"/>
              </w:numPr>
              <w:adjustRightInd w:val="0"/>
              <w:snapToGrid w:val="0"/>
              <w:spacing w:line="360" w:lineRule="auto"/>
              <w:jc w:val="left"/>
              <w:rPr>
                <w:rFonts w:ascii="宋体" w:hAnsi="宋体" w:eastAsia="宋体" w:cs="宋体"/>
                <w:szCs w:val="21"/>
              </w:rPr>
            </w:pPr>
            <w:r>
              <w:rPr>
                <w:rFonts w:hint="eastAsia" w:ascii="宋体" w:hAnsi="宋体" w:eastAsia="宋体" w:cs="宋体"/>
                <w:szCs w:val="21"/>
              </w:rPr>
              <w:t>评分内容：</w:t>
            </w:r>
          </w:p>
          <w:p>
            <w:pPr>
              <w:adjustRightInd w:val="0"/>
              <w:snapToGrid w:val="0"/>
              <w:spacing w:line="360" w:lineRule="auto"/>
              <w:jc w:val="left"/>
              <w:rPr>
                <w:rFonts w:ascii="宋体" w:hAnsi="宋体" w:eastAsia="宋体" w:cs="宋体"/>
                <w:szCs w:val="21"/>
              </w:rPr>
            </w:pPr>
            <w:r>
              <w:rPr>
                <w:rFonts w:hint="eastAsia" w:ascii="宋体" w:hAnsi="宋体" w:eastAsia="宋体" w:cs="宋体"/>
                <w:szCs w:val="21"/>
              </w:rPr>
              <w:t>投标人提供的证书认证范围须包含人力资源服务相关，且在有效期内的，在此基础上，</w:t>
            </w:r>
          </w:p>
          <w:p>
            <w:pPr>
              <w:adjustRightInd w:val="0"/>
              <w:snapToGrid w:val="0"/>
              <w:spacing w:line="360" w:lineRule="auto"/>
              <w:jc w:val="left"/>
              <w:rPr>
                <w:rFonts w:ascii="宋体" w:hAnsi="宋体" w:eastAsia="宋体" w:cs="宋体"/>
                <w:szCs w:val="21"/>
              </w:rPr>
            </w:pPr>
            <w:r>
              <w:rPr>
                <w:rFonts w:hint="eastAsia" w:ascii="宋体" w:hAnsi="宋体" w:eastAsia="宋体" w:cs="宋体"/>
                <w:szCs w:val="21"/>
              </w:rPr>
              <w:t>1、具有ISO9001（质量）管理体系认证证书的，得33分；</w:t>
            </w:r>
          </w:p>
          <w:p>
            <w:pPr>
              <w:adjustRightInd w:val="0"/>
              <w:snapToGrid w:val="0"/>
              <w:spacing w:line="360" w:lineRule="auto"/>
              <w:jc w:val="left"/>
              <w:rPr>
                <w:rFonts w:ascii="宋体" w:hAnsi="宋体" w:eastAsia="宋体" w:cs="宋体"/>
                <w:szCs w:val="21"/>
              </w:rPr>
            </w:pPr>
            <w:r>
              <w:rPr>
                <w:rFonts w:hint="eastAsia" w:ascii="宋体" w:hAnsi="宋体" w:eastAsia="宋体" w:cs="宋体"/>
                <w:szCs w:val="21"/>
              </w:rPr>
              <w:t>2、具有ISO14001（环境）管理体系认证证书的，得33分；</w:t>
            </w:r>
          </w:p>
          <w:p>
            <w:pPr>
              <w:adjustRightInd w:val="0"/>
              <w:snapToGrid w:val="0"/>
              <w:spacing w:line="360" w:lineRule="auto"/>
              <w:jc w:val="left"/>
              <w:rPr>
                <w:rFonts w:ascii="宋体" w:hAnsi="宋体" w:eastAsia="宋体" w:cs="宋体"/>
                <w:szCs w:val="21"/>
              </w:rPr>
            </w:pPr>
            <w:r>
              <w:rPr>
                <w:rFonts w:hint="eastAsia" w:ascii="宋体" w:hAnsi="宋体" w:eastAsia="宋体" w:cs="宋体"/>
                <w:szCs w:val="21"/>
              </w:rPr>
              <w:t>3、具有</w:t>
            </w:r>
            <w:r>
              <w:rPr>
                <w:rFonts w:ascii="宋体" w:hAnsi="宋体" w:eastAsia="宋体" w:cs="宋体"/>
                <w:szCs w:val="21"/>
              </w:rPr>
              <w:t>有效期</w:t>
            </w:r>
            <w:r>
              <w:rPr>
                <w:rFonts w:hint="eastAsia" w:ascii="宋体" w:hAnsi="宋体" w:eastAsia="宋体" w:cs="宋体"/>
                <w:szCs w:val="21"/>
              </w:rPr>
              <w:t>内的职业健康安全管理体系认证证书的，得34分</w:t>
            </w:r>
            <w:bookmarkStart w:id="23" w:name="_GoBack"/>
            <w:bookmarkEnd w:id="23"/>
            <w:r>
              <w:rPr>
                <w:rFonts w:hint="eastAsia" w:ascii="宋体" w:hAnsi="宋体" w:eastAsia="宋体" w:cs="宋体"/>
                <w:szCs w:val="21"/>
              </w:rPr>
              <w:t>。</w:t>
            </w:r>
          </w:p>
          <w:p>
            <w:pPr>
              <w:adjustRightInd w:val="0"/>
              <w:snapToGrid w:val="0"/>
              <w:spacing w:line="360" w:lineRule="auto"/>
              <w:jc w:val="left"/>
              <w:rPr>
                <w:rFonts w:ascii="宋体" w:hAnsi="宋体" w:eastAsia="宋体" w:cs="宋体"/>
                <w:szCs w:val="21"/>
              </w:rPr>
            </w:pPr>
            <w:r>
              <w:rPr>
                <w:rFonts w:hint="eastAsia" w:ascii="宋体" w:hAnsi="宋体" w:eastAsia="宋体" w:cs="宋体"/>
                <w:szCs w:val="21"/>
              </w:rPr>
              <w:t>以上项累计得分，最高不超过100分。</w:t>
            </w:r>
          </w:p>
          <w:p>
            <w:pPr>
              <w:adjustRightInd w:val="0"/>
              <w:snapToGrid w:val="0"/>
              <w:spacing w:line="360" w:lineRule="auto"/>
              <w:jc w:val="left"/>
              <w:rPr>
                <w:rFonts w:ascii="宋体" w:hAnsi="宋体" w:eastAsia="宋体" w:cs="宋体"/>
                <w:szCs w:val="21"/>
              </w:rPr>
            </w:pPr>
            <w:r>
              <w:rPr>
                <w:rFonts w:hint="eastAsia" w:ascii="宋体" w:hAnsi="宋体" w:eastAsia="宋体" w:cs="宋体"/>
                <w:szCs w:val="21"/>
              </w:rPr>
              <w:t>（二）评分依据：</w:t>
            </w:r>
          </w:p>
          <w:p>
            <w:pPr>
              <w:adjustRightInd w:val="0"/>
              <w:snapToGrid w:val="0"/>
              <w:spacing w:line="360" w:lineRule="auto"/>
              <w:jc w:val="left"/>
              <w:rPr>
                <w:rFonts w:ascii="宋体" w:hAnsi="宋体" w:eastAsia="宋体" w:cs="宋体"/>
                <w:szCs w:val="21"/>
              </w:rPr>
            </w:pPr>
            <w:r>
              <w:rPr>
                <w:rFonts w:hint="eastAsia" w:ascii="宋体" w:hAnsi="宋体" w:eastAsia="宋体" w:cs="宋体"/>
                <w:szCs w:val="21"/>
              </w:rPr>
              <w:t>1.要求提供有效的认证证书作为得分依据。</w:t>
            </w:r>
          </w:p>
          <w:p>
            <w:pPr>
              <w:adjustRightInd w:val="0"/>
              <w:snapToGrid w:val="0"/>
              <w:spacing w:line="360" w:lineRule="auto"/>
              <w:jc w:val="left"/>
              <w:rPr>
                <w:rFonts w:ascii="宋体" w:hAnsi="宋体" w:eastAsia="宋体" w:cs="宋体"/>
                <w:szCs w:val="21"/>
              </w:rPr>
            </w:pPr>
            <w:r>
              <w:rPr>
                <w:rFonts w:hint="eastAsia" w:ascii="宋体" w:hAnsi="宋体" w:eastAsia="宋体" w:cs="宋体"/>
                <w:szCs w:val="21"/>
              </w:rPr>
              <w:t>2.以上资料均要求提供扫描件（或官方网站截图，截图应包含网址栏），原件备查。评分中出现无证明资料或专家无法凭所提供资料判断是否得分的情况，一律作不得分处理。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59" w:type="dxa"/>
            <w:vMerge w:val="continue"/>
            <w:tcBorders>
              <w:left w:val="single" w:color="auto" w:sz="4" w:space="0"/>
              <w:right w:val="single" w:color="auto" w:sz="4" w:space="0"/>
            </w:tcBorders>
            <w:vAlign w:val="center"/>
          </w:tcPr>
          <w:p>
            <w:pPr>
              <w:widowControl/>
              <w:adjustRightInd w:val="0"/>
              <w:snapToGrid w:val="0"/>
              <w:jc w:val="center"/>
              <w:rPr>
                <w:rFonts w:ascii="宋体" w:hAnsi="宋体" w:eastAsia="宋体" w:cs="宋体"/>
                <w:szCs w:val="21"/>
              </w:rPr>
            </w:pPr>
          </w:p>
        </w:tc>
        <w:tc>
          <w:tcPr>
            <w:tcW w:w="70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eastAsia="宋体" w:cs="宋体"/>
                <w:szCs w:val="21"/>
              </w:rPr>
            </w:pPr>
            <w:r>
              <w:rPr>
                <w:rFonts w:hint="eastAsia" w:ascii="宋体" w:hAnsi="宋体" w:eastAsia="宋体" w:cs="宋体"/>
                <w:szCs w:val="21"/>
              </w:rPr>
              <w:t>2</w:t>
            </w:r>
          </w:p>
        </w:tc>
        <w:tc>
          <w:tcPr>
            <w:tcW w:w="141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eastAsia="宋体" w:cs="宋体"/>
                <w:szCs w:val="21"/>
              </w:rPr>
            </w:pPr>
            <w:r>
              <w:rPr>
                <w:rFonts w:hint="eastAsia" w:ascii="宋体" w:hAnsi="宋体" w:eastAsia="宋体" w:cs="宋体"/>
                <w:szCs w:val="21"/>
              </w:rPr>
              <w:t>投标人同类项目业绩情况</w:t>
            </w:r>
          </w:p>
        </w:tc>
        <w:tc>
          <w:tcPr>
            <w:tcW w:w="85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eastAsia="宋体" w:cs="宋体"/>
                <w:szCs w:val="21"/>
              </w:rPr>
            </w:pPr>
            <w:r>
              <w:rPr>
                <w:rFonts w:hint="eastAsia" w:ascii="宋体" w:hAnsi="宋体" w:eastAsia="宋体" w:cs="宋体"/>
                <w:szCs w:val="21"/>
              </w:rPr>
              <w:t>10</w:t>
            </w:r>
          </w:p>
        </w:tc>
        <w:tc>
          <w:tcPr>
            <w:tcW w:w="540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left"/>
              <w:rPr>
                <w:rFonts w:ascii="宋体" w:hAnsi="宋体" w:eastAsia="宋体" w:cs="宋体"/>
                <w:szCs w:val="21"/>
              </w:rPr>
            </w:pPr>
            <w:r>
              <w:rPr>
                <w:rFonts w:hint="eastAsia" w:ascii="宋体" w:hAnsi="宋体" w:eastAsia="宋体" w:cs="宋体"/>
                <w:szCs w:val="21"/>
              </w:rPr>
              <w:t>（一）评分内容：</w:t>
            </w:r>
          </w:p>
          <w:p>
            <w:pPr>
              <w:widowControl/>
              <w:adjustRightInd w:val="0"/>
              <w:snapToGrid w:val="0"/>
              <w:spacing w:line="360" w:lineRule="auto"/>
              <w:jc w:val="left"/>
              <w:rPr>
                <w:rFonts w:ascii="宋体" w:hAnsi="宋体" w:eastAsia="宋体" w:cs="宋体"/>
                <w:szCs w:val="21"/>
              </w:rPr>
            </w:pPr>
            <w:r>
              <w:rPr>
                <w:rFonts w:hint="eastAsia" w:ascii="宋体" w:hAnsi="宋体" w:eastAsia="宋体" w:cs="宋体"/>
                <w:szCs w:val="21"/>
              </w:rPr>
              <w:t>考察投标人近三年（</w:t>
            </w:r>
            <w:r>
              <w:rPr>
                <w:rFonts w:hint="eastAsia" w:ascii="宋体" w:hAnsi="宋体" w:eastAsia="宋体" w:cs="宋体"/>
                <w:color w:val="FF0000"/>
                <w:szCs w:val="21"/>
                <w:highlight w:val="yellow"/>
              </w:rPr>
              <w:t>2021年6月1日至</w:t>
            </w:r>
            <w:r>
              <w:rPr>
                <w:rFonts w:hint="eastAsia" w:ascii="宋体" w:hAnsi="宋体" w:eastAsia="宋体" w:cs="宋体"/>
                <w:szCs w:val="21"/>
              </w:rPr>
              <w:t>本项目开标之日，以项目验收或履约评价时间为准）同类项目[同类项目专指医疗辅助人员相关劳务派遣项目]业绩情况： 有3个的，得100分，2个的，得60分，1个的，的30分；没有的不得分。</w:t>
            </w:r>
          </w:p>
          <w:p>
            <w:pPr>
              <w:adjustRightInd w:val="0"/>
              <w:snapToGrid w:val="0"/>
              <w:spacing w:line="360" w:lineRule="auto"/>
              <w:jc w:val="left"/>
              <w:rPr>
                <w:rFonts w:ascii="宋体" w:hAnsi="宋体" w:eastAsia="宋体" w:cs="宋体"/>
                <w:szCs w:val="21"/>
              </w:rPr>
            </w:pPr>
            <w:r>
              <w:rPr>
                <w:rFonts w:hint="eastAsia" w:ascii="宋体" w:hAnsi="宋体" w:eastAsia="宋体" w:cs="宋体"/>
                <w:szCs w:val="21"/>
              </w:rPr>
              <w:t>（二）评分依据：</w:t>
            </w:r>
          </w:p>
          <w:p>
            <w:pPr>
              <w:adjustRightInd w:val="0"/>
              <w:snapToGrid w:val="0"/>
              <w:spacing w:line="360" w:lineRule="auto"/>
              <w:jc w:val="left"/>
              <w:rPr>
                <w:rFonts w:ascii="宋体" w:hAnsi="宋体" w:eastAsia="宋体" w:cs="宋体"/>
                <w:szCs w:val="21"/>
              </w:rPr>
            </w:pPr>
            <w:r>
              <w:rPr>
                <w:rFonts w:hint="eastAsia" w:ascii="宋体" w:hAnsi="宋体" w:eastAsia="宋体" w:cs="宋体"/>
                <w:szCs w:val="21"/>
              </w:rPr>
              <w:t>1.要求同时提供合同关键信息和项目验收合格评价证明文件作为得分依据，项目验收合格评价证明文件需加盖合同甲方公章（或甲方业务章）。</w:t>
            </w:r>
          </w:p>
          <w:p>
            <w:pPr>
              <w:adjustRightInd w:val="0"/>
              <w:snapToGrid w:val="0"/>
              <w:spacing w:line="360" w:lineRule="auto"/>
              <w:jc w:val="left"/>
              <w:rPr>
                <w:rFonts w:ascii="宋体" w:hAnsi="宋体" w:eastAsia="宋体" w:cs="宋体"/>
                <w:szCs w:val="21"/>
              </w:rPr>
            </w:pPr>
            <w:r>
              <w:rPr>
                <w:rFonts w:hint="eastAsia" w:ascii="宋体" w:hAnsi="宋体" w:eastAsia="宋体" w:cs="宋体"/>
                <w:szCs w:val="21"/>
              </w:rPr>
              <w:t>2.通过合同关键信息无法判断是否得分的，还须同时提供能证明得分的其它证明资料，如项目报告或合同甲方出具的证明文件等。</w:t>
            </w:r>
          </w:p>
          <w:p>
            <w:pPr>
              <w:adjustRightInd w:val="0"/>
              <w:snapToGrid w:val="0"/>
              <w:spacing w:line="360" w:lineRule="auto"/>
              <w:jc w:val="left"/>
              <w:rPr>
                <w:rFonts w:ascii="宋体" w:hAnsi="宋体" w:eastAsia="宋体" w:cs="宋体"/>
                <w:szCs w:val="21"/>
              </w:rPr>
            </w:pPr>
            <w:r>
              <w:rPr>
                <w:rFonts w:hint="eastAsia" w:ascii="宋体" w:hAnsi="宋体" w:eastAsia="宋体" w:cs="宋体"/>
                <w:szCs w:val="21"/>
              </w:rPr>
              <w:t>3.以上资料均要求提供扫描件，原件备查。评分中出现无证明资料或专家无法凭所提供资料判断是否得分的情况，一律作不得分处理。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59" w:type="dxa"/>
            <w:vMerge w:val="continue"/>
            <w:tcBorders>
              <w:left w:val="single" w:color="auto" w:sz="4" w:space="0"/>
              <w:right w:val="single" w:color="auto" w:sz="4" w:space="0"/>
            </w:tcBorders>
            <w:vAlign w:val="center"/>
          </w:tcPr>
          <w:p>
            <w:pPr>
              <w:widowControl/>
              <w:adjustRightInd w:val="0"/>
              <w:snapToGrid w:val="0"/>
              <w:jc w:val="center"/>
              <w:rPr>
                <w:rFonts w:ascii="宋体" w:hAnsi="宋体" w:eastAsia="宋体" w:cs="宋体"/>
                <w:szCs w:val="21"/>
              </w:rPr>
            </w:pPr>
          </w:p>
        </w:tc>
        <w:tc>
          <w:tcPr>
            <w:tcW w:w="70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eastAsia="宋体" w:cs="宋体"/>
                <w:szCs w:val="21"/>
              </w:rPr>
            </w:pPr>
            <w:r>
              <w:rPr>
                <w:rFonts w:hint="eastAsia" w:ascii="宋体" w:hAnsi="宋体" w:eastAsia="宋体" w:cs="宋体"/>
                <w:szCs w:val="21"/>
              </w:rPr>
              <w:t>3</w:t>
            </w:r>
          </w:p>
        </w:tc>
        <w:tc>
          <w:tcPr>
            <w:tcW w:w="141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eastAsia="宋体" w:cs="宋体"/>
                <w:szCs w:val="21"/>
              </w:rPr>
            </w:pPr>
            <w:r>
              <w:rPr>
                <w:rFonts w:hint="eastAsia" w:ascii="宋体" w:hAnsi="宋体" w:eastAsia="宋体" w:cs="宋体"/>
                <w:szCs w:val="21"/>
              </w:rPr>
              <w:t>拟安排的项目负责人情况（仅限一人）</w:t>
            </w:r>
          </w:p>
        </w:tc>
        <w:tc>
          <w:tcPr>
            <w:tcW w:w="85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eastAsia="宋体" w:cs="宋体"/>
                <w:szCs w:val="21"/>
              </w:rPr>
            </w:pPr>
            <w:r>
              <w:rPr>
                <w:rFonts w:hint="eastAsia" w:ascii="宋体" w:hAnsi="宋体" w:eastAsia="宋体" w:cs="宋体"/>
                <w:szCs w:val="21"/>
              </w:rPr>
              <w:t>5</w:t>
            </w:r>
          </w:p>
        </w:tc>
        <w:tc>
          <w:tcPr>
            <w:tcW w:w="540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left"/>
              <w:rPr>
                <w:rFonts w:ascii="宋体" w:hAnsi="宋体" w:eastAsia="宋体" w:cs="宋体"/>
                <w:szCs w:val="21"/>
              </w:rPr>
            </w:pPr>
            <w:r>
              <w:rPr>
                <w:rFonts w:hint="eastAsia" w:ascii="宋体" w:hAnsi="宋体" w:eastAsia="宋体" w:cs="宋体"/>
                <w:szCs w:val="21"/>
              </w:rPr>
              <w:t>（一）项目负责人须是投标人的正式聘任员工。在此基础上，评分内容：</w:t>
            </w:r>
          </w:p>
          <w:p>
            <w:pPr>
              <w:adjustRightInd w:val="0"/>
              <w:snapToGrid w:val="0"/>
              <w:spacing w:line="360" w:lineRule="auto"/>
              <w:jc w:val="left"/>
              <w:rPr>
                <w:rFonts w:ascii="宋体" w:hAnsi="宋体" w:eastAsia="宋体" w:cs="宋体"/>
                <w:szCs w:val="21"/>
              </w:rPr>
            </w:pPr>
            <w:r>
              <w:rPr>
                <w:rFonts w:hint="eastAsia" w:ascii="宋体" w:hAnsi="宋体" w:eastAsia="宋体" w:cs="宋体"/>
                <w:szCs w:val="21"/>
              </w:rPr>
              <w:t>1、</w:t>
            </w:r>
            <w:r>
              <w:rPr>
                <w:rFonts w:hint="eastAsia" w:ascii="宋体" w:hAnsi="宋体" w:eastAsia="宋体" w:cs="宋体"/>
                <w:szCs w:val="21"/>
                <w:lang w:bidi="ar"/>
              </w:rPr>
              <w:t>本科或本科以上学历的</w:t>
            </w:r>
            <w:r>
              <w:rPr>
                <w:rFonts w:hint="eastAsia" w:ascii="宋体" w:hAnsi="宋体" w:eastAsia="宋体" w:cs="宋体"/>
                <w:szCs w:val="21"/>
              </w:rPr>
              <w:t>，得34分；</w:t>
            </w:r>
          </w:p>
          <w:p>
            <w:pPr>
              <w:adjustRightInd w:val="0"/>
              <w:snapToGrid w:val="0"/>
              <w:spacing w:line="360" w:lineRule="auto"/>
              <w:jc w:val="left"/>
              <w:rPr>
                <w:rFonts w:ascii="宋体" w:hAnsi="宋体" w:eastAsia="宋体" w:cs="宋体"/>
                <w:szCs w:val="21"/>
              </w:rPr>
            </w:pPr>
            <w:r>
              <w:rPr>
                <w:rFonts w:hint="eastAsia" w:ascii="宋体" w:hAnsi="宋体" w:eastAsia="宋体" w:cs="宋体"/>
                <w:szCs w:val="21"/>
              </w:rPr>
              <w:t>2、</w:t>
            </w:r>
            <w:r>
              <w:rPr>
                <w:rFonts w:hint="eastAsia" w:ascii="宋体" w:hAnsi="宋体" w:eastAsia="宋体" w:cs="宋体"/>
                <w:szCs w:val="21"/>
                <w:lang w:bidi="ar"/>
              </w:rPr>
              <w:t>人力资源管理或公共卫生专业相关专业毕业</w:t>
            </w:r>
            <w:r>
              <w:rPr>
                <w:rFonts w:hint="eastAsia" w:ascii="宋体" w:hAnsi="宋体" w:eastAsia="宋体" w:cs="宋体"/>
                <w:szCs w:val="21"/>
              </w:rPr>
              <w:t>的，得33分；</w:t>
            </w:r>
          </w:p>
          <w:p>
            <w:pPr>
              <w:adjustRightInd w:val="0"/>
              <w:snapToGrid w:val="0"/>
              <w:spacing w:line="360" w:lineRule="auto"/>
              <w:jc w:val="left"/>
              <w:rPr>
                <w:rFonts w:ascii="宋体" w:hAnsi="宋体" w:eastAsia="宋体" w:cs="宋体"/>
                <w:szCs w:val="21"/>
              </w:rPr>
            </w:pPr>
            <w:r>
              <w:rPr>
                <w:rFonts w:hint="eastAsia" w:ascii="宋体" w:hAnsi="宋体" w:eastAsia="宋体" w:cs="宋体"/>
                <w:szCs w:val="21"/>
              </w:rPr>
              <w:t>3、项目负责人具有</w:t>
            </w:r>
            <w:r>
              <w:rPr>
                <w:rFonts w:hint="eastAsia" w:ascii="宋体" w:hAnsi="宋体" w:eastAsia="宋体" w:cs="宋体"/>
                <w:szCs w:val="21"/>
                <w:lang w:bidi="ar"/>
              </w:rPr>
              <w:t>管理同类项目团队</w:t>
            </w:r>
            <w:r>
              <w:rPr>
                <w:rFonts w:hint="eastAsia" w:ascii="宋体" w:hAnsi="宋体" w:eastAsia="宋体" w:cs="宋体"/>
                <w:szCs w:val="21"/>
              </w:rPr>
              <w:t>相关工作经验的，得33分。</w:t>
            </w:r>
          </w:p>
          <w:p>
            <w:pPr>
              <w:adjustRightInd w:val="0"/>
              <w:snapToGrid w:val="0"/>
              <w:spacing w:line="360" w:lineRule="auto"/>
              <w:jc w:val="left"/>
              <w:rPr>
                <w:rFonts w:ascii="宋体" w:hAnsi="宋体" w:eastAsia="宋体" w:cs="宋体"/>
                <w:szCs w:val="21"/>
              </w:rPr>
            </w:pPr>
            <w:r>
              <w:rPr>
                <w:rFonts w:hint="eastAsia" w:ascii="宋体" w:hAnsi="宋体" w:eastAsia="宋体" w:cs="宋体"/>
                <w:szCs w:val="21"/>
              </w:rPr>
              <w:t>以上项累计得分，最高不超过100分。</w:t>
            </w:r>
          </w:p>
          <w:p>
            <w:pPr>
              <w:adjustRightInd w:val="0"/>
              <w:snapToGrid w:val="0"/>
              <w:spacing w:line="360" w:lineRule="auto"/>
              <w:jc w:val="left"/>
              <w:rPr>
                <w:rFonts w:ascii="宋体" w:hAnsi="宋体" w:eastAsia="宋体" w:cs="宋体"/>
                <w:szCs w:val="21"/>
              </w:rPr>
            </w:pPr>
            <w:r>
              <w:rPr>
                <w:rFonts w:hint="eastAsia" w:ascii="宋体" w:hAnsi="宋体" w:eastAsia="宋体" w:cs="宋体"/>
                <w:szCs w:val="21"/>
              </w:rPr>
              <w:t>（二）评分依据：</w:t>
            </w:r>
          </w:p>
          <w:p>
            <w:pPr>
              <w:adjustRightInd w:val="0"/>
              <w:snapToGrid w:val="0"/>
              <w:spacing w:line="360" w:lineRule="auto"/>
              <w:jc w:val="left"/>
              <w:rPr>
                <w:rFonts w:ascii="宋体" w:hAnsi="宋体" w:eastAsia="宋体" w:cs="宋体"/>
                <w:szCs w:val="21"/>
              </w:rPr>
            </w:pPr>
            <w:r>
              <w:rPr>
                <w:rFonts w:hint="eastAsia" w:ascii="宋体" w:hAnsi="宋体" w:eastAsia="宋体" w:cs="宋体"/>
                <w:szCs w:val="21"/>
              </w:rPr>
              <w:t>1.要求提供投标人相关证明资料（项目负责人聘用合同关键页、</w:t>
            </w:r>
            <w:r>
              <w:rPr>
                <w:rFonts w:hint="eastAsia" w:ascii="宋体" w:hAnsi="宋体" w:eastAsia="宋体" w:cs="宋体"/>
                <w:szCs w:val="21"/>
                <w:highlight w:val="yellow"/>
              </w:rPr>
              <w:t>学历学位证书、资格证书、工作经验证明文</w:t>
            </w:r>
            <w:r>
              <w:rPr>
                <w:rFonts w:hint="eastAsia" w:ascii="宋体" w:hAnsi="宋体" w:eastAsia="宋体" w:cs="宋体"/>
                <w:szCs w:val="21"/>
              </w:rPr>
              <w:t>件、</w:t>
            </w:r>
            <w:r>
              <w:rPr>
                <w:rFonts w:hint="eastAsia" w:ascii="宋体" w:hAnsi="宋体" w:eastAsia="宋体" w:cs="宋体"/>
                <w:color w:val="000000"/>
                <w:szCs w:val="21"/>
              </w:rPr>
              <w:t>该人员近一个月在投标单位缴纳社保的证明材料等</w:t>
            </w:r>
            <w:r>
              <w:rPr>
                <w:rFonts w:hint="eastAsia" w:ascii="宋体" w:hAnsi="宋体" w:eastAsia="宋体" w:cs="宋体"/>
                <w:szCs w:val="21"/>
              </w:rPr>
              <w:t>）作为得分依据。</w:t>
            </w:r>
          </w:p>
          <w:p>
            <w:pPr>
              <w:adjustRightInd w:val="0"/>
              <w:snapToGrid w:val="0"/>
              <w:spacing w:line="360" w:lineRule="auto"/>
              <w:jc w:val="left"/>
              <w:rPr>
                <w:rFonts w:ascii="宋体" w:hAnsi="宋体" w:eastAsia="宋体" w:cs="宋体"/>
                <w:szCs w:val="21"/>
              </w:rPr>
            </w:pPr>
            <w:r>
              <w:rPr>
                <w:rFonts w:hint="eastAsia" w:ascii="宋体" w:hAnsi="宋体" w:eastAsia="宋体" w:cs="宋体"/>
                <w:szCs w:val="21"/>
              </w:rPr>
              <w:t>2.以上资料均要求提供扫描件（或官方网站截图，截图应包含网址栏），原件备查。评分中出现无证明资料或专家无法凭所提供资料判断是否得分的情况，一律作不得分处理。</w:t>
            </w:r>
          </w:p>
          <w:p>
            <w:pPr>
              <w:adjustRightInd w:val="0"/>
              <w:snapToGrid w:val="0"/>
              <w:spacing w:line="360" w:lineRule="auto"/>
              <w:jc w:val="left"/>
              <w:rPr>
                <w:rFonts w:ascii="宋体" w:hAnsi="宋体" w:eastAsia="宋体" w:cs="宋体"/>
                <w:szCs w:val="21"/>
              </w:rPr>
            </w:pPr>
            <w:r>
              <w:rPr>
                <w:rFonts w:hint="eastAsia" w:ascii="宋体" w:hAnsi="宋体" w:eastAsia="宋体" w:cs="宋体"/>
                <w:szCs w:val="21"/>
              </w:rPr>
              <w:t>3. 要求提供学历、学位证书的，投标人需提供证书扫描件以及学信网查询记录（官方网站截图，截图应包含网址栏）。对于较早颁发的学历学位证书，学信网无法查询的，除提供证书扫描件外，还需提供毕业院校、人社部门等颁发机构或监管机构等单位出具的证明作为得分的依据。</w:t>
            </w:r>
          </w:p>
          <w:p>
            <w:pPr>
              <w:adjustRightInd w:val="0"/>
              <w:snapToGrid w:val="0"/>
              <w:spacing w:line="360" w:lineRule="auto"/>
              <w:jc w:val="left"/>
              <w:rPr>
                <w:rFonts w:ascii="宋体" w:hAnsi="宋体" w:eastAsia="宋体" w:cs="宋体"/>
                <w:szCs w:val="21"/>
              </w:rPr>
            </w:pPr>
            <w:r>
              <w:rPr>
                <w:rFonts w:hint="eastAsia" w:ascii="宋体" w:hAnsi="宋体" w:eastAsia="宋体" w:cs="宋体"/>
                <w:szCs w:val="21"/>
              </w:rPr>
              <w:t>4.</w:t>
            </w:r>
            <w:r>
              <w:rPr>
                <w:rFonts w:hint="eastAsia" w:ascii="宋体" w:hAnsi="宋体" w:eastAsia="宋体" w:cs="宋体"/>
                <w:color w:val="000000"/>
                <w:szCs w:val="21"/>
              </w:rPr>
              <w:t>社保证明资料可为社保收缴部门盖章证明资料、社保窗口打印资料或含网址栏的社保官网截图，代缴或补缴无效。</w:t>
            </w:r>
            <w:r>
              <w:rPr>
                <w:rFonts w:hint="eastAsia" w:ascii="宋体" w:hAnsi="宋体" w:eastAsia="宋体" w:cs="宋体"/>
                <w:szCs w:val="21"/>
              </w:rPr>
              <w:t>如开标日上一个月的社保材料因社保部门原因暂时无法取得，则可以往前顺延一个月。</w:t>
            </w:r>
          </w:p>
          <w:p>
            <w:pPr>
              <w:adjustRightInd w:val="0"/>
              <w:snapToGrid w:val="0"/>
              <w:spacing w:line="360" w:lineRule="auto"/>
              <w:jc w:val="left"/>
              <w:rPr>
                <w:rFonts w:ascii="宋体" w:hAnsi="宋体" w:eastAsia="宋体" w:cs="宋体"/>
                <w:szCs w:val="21"/>
              </w:rPr>
            </w:pPr>
            <w:r>
              <w:rPr>
                <w:rFonts w:hint="eastAsia" w:ascii="宋体" w:hAnsi="宋体" w:eastAsia="宋体" w:cs="宋体"/>
                <w:szCs w:val="21"/>
              </w:rPr>
              <w:t>5.如涉及考察人员工作经验，要求提供项目合同关键信息作为得分依据，通过合同关键信息无法判断是否得分的，还须同时提供合同甲方出具的证明文件。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59" w:type="dxa"/>
            <w:vMerge w:val="continue"/>
            <w:tcBorders>
              <w:left w:val="single" w:color="auto" w:sz="4" w:space="0"/>
              <w:right w:val="single" w:color="auto" w:sz="4" w:space="0"/>
            </w:tcBorders>
            <w:vAlign w:val="center"/>
          </w:tcPr>
          <w:p>
            <w:pPr>
              <w:widowControl/>
              <w:adjustRightInd w:val="0"/>
              <w:snapToGrid w:val="0"/>
              <w:jc w:val="center"/>
              <w:rPr>
                <w:rFonts w:ascii="宋体" w:hAnsi="宋体" w:eastAsia="宋体" w:cs="宋体"/>
                <w:szCs w:val="21"/>
              </w:rPr>
            </w:pPr>
          </w:p>
        </w:tc>
        <w:tc>
          <w:tcPr>
            <w:tcW w:w="70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eastAsia="宋体" w:cs="宋体"/>
                <w:szCs w:val="21"/>
              </w:rPr>
            </w:pPr>
            <w:r>
              <w:rPr>
                <w:rFonts w:hint="eastAsia" w:ascii="宋体" w:hAnsi="宋体" w:eastAsia="宋体" w:cs="宋体"/>
                <w:szCs w:val="21"/>
              </w:rPr>
              <w:t>4</w:t>
            </w:r>
          </w:p>
        </w:tc>
        <w:tc>
          <w:tcPr>
            <w:tcW w:w="141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eastAsia="宋体" w:cs="宋体"/>
                <w:szCs w:val="21"/>
              </w:rPr>
            </w:pPr>
            <w:r>
              <w:rPr>
                <w:rFonts w:hint="eastAsia" w:ascii="宋体" w:hAnsi="宋体" w:eastAsia="宋体" w:cs="宋体"/>
                <w:szCs w:val="21"/>
              </w:rPr>
              <w:t>拟安排的项目主要团队成员（主要技术人员）情况（项目负责人除外）</w:t>
            </w:r>
          </w:p>
        </w:tc>
        <w:tc>
          <w:tcPr>
            <w:tcW w:w="85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eastAsia="宋体" w:cs="宋体"/>
                <w:szCs w:val="21"/>
              </w:rPr>
            </w:pPr>
            <w:r>
              <w:rPr>
                <w:rFonts w:hint="eastAsia" w:ascii="宋体" w:hAnsi="宋体" w:eastAsia="宋体" w:cs="宋体"/>
                <w:szCs w:val="21"/>
              </w:rPr>
              <w:t>5</w:t>
            </w:r>
          </w:p>
        </w:tc>
        <w:tc>
          <w:tcPr>
            <w:tcW w:w="540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left"/>
              <w:rPr>
                <w:rFonts w:ascii="宋体" w:hAnsi="宋体" w:eastAsia="宋体" w:cs="宋体"/>
                <w:szCs w:val="21"/>
              </w:rPr>
            </w:pPr>
            <w:r>
              <w:rPr>
                <w:rFonts w:hint="eastAsia" w:ascii="宋体" w:hAnsi="宋体" w:eastAsia="宋体" w:cs="宋体"/>
                <w:szCs w:val="21"/>
              </w:rPr>
              <w:t>（一）项目团队成员须是投标人的正式聘任员工。在此基础上，评分内容：</w:t>
            </w:r>
          </w:p>
          <w:p>
            <w:pPr>
              <w:adjustRightInd w:val="0"/>
              <w:snapToGrid w:val="0"/>
              <w:spacing w:line="360" w:lineRule="auto"/>
              <w:jc w:val="left"/>
              <w:rPr>
                <w:rFonts w:ascii="宋体" w:hAnsi="宋体" w:eastAsia="宋体" w:cs="宋体"/>
                <w:szCs w:val="21"/>
              </w:rPr>
            </w:pPr>
            <w:r>
              <w:rPr>
                <w:rFonts w:hint="eastAsia" w:ascii="宋体" w:hAnsi="宋体" w:eastAsia="宋体" w:cs="宋体"/>
                <w:szCs w:val="21"/>
              </w:rPr>
              <w:t>1、项目团队人员具有1名三级企业人力资源管理师（或以上）的得50分，最高50分；</w:t>
            </w:r>
          </w:p>
          <w:p>
            <w:pPr>
              <w:adjustRightInd w:val="0"/>
              <w:snapToGrid w:val="0"/>
              <w:spacing w:line="360" w:lineRule="auto"/>
              <w:jc w:val="left"/>
              <w:rPr>
                <w:rFonts w:ascii="宋体" w:hAnsi="宋体" w:eastAsia="宋体" w:cs="宋体"/>
                <w:szCs w:val="21"/>
              </w:rPr>
            </w:pPr>
            <w:r>
              <w:rPr>
                <w:rFonts w:hint="eastAsia" w:ascii="宋体" w:hAnsi="宋体" w:eastAsia="宋体" w:cs="宋体"/>
                <w:szCs w:val="21"/>
              </w:rPr>
              <w:t>2、</w:t>
            </w:r>
            <w:r>
              <w:rPr>
                <w:rFonts w:hint="eastAsia" w:ascii="宋体" w:hAnsi="宋体" w:eastAsia="宋体" w:cs="宋体"/>
                <w:szCs w:val="21"/>
                <w:lang w:bidi="ar"/>
              </w:rPr>
              <w:t>项目团队人员具有本科（或以上）学历，每提供1人得10分，最高</w:t>
            </w:r>
            <w:r>
              <w:rPr>
                <w:rFonts w:hint="eastAsia" w:ascii="宋体" w:hAnsi="宋体" w:eastAsia="宋体" w:cs="宋体"/>
                <w:szCs w:val="21"/>
              </w:rPr>
              <w:t>得50分；</w:t>
            </w:r>
          </w:p>
          <w:p>
            <w:pPr>
              <w:adjustRightInd w:val="0"/>
              <w:snapToGrid w:val="0"/>
              <w:spacing w:line="360" w:lineRule="auto"/>
              <w:jc w:val="left"/>
              <w:rPr>
                <w:rFonts w:ascii="宋体" w:hAnsi="宋体" w:eastAsia="宋体" w:cs="宋体"/>
                <w:kern w:val="0"/>
                <w:szCs w:val="21"/>
              </w:rPr>
            </w:pPr>
            <w:r>
              <w:rPr>
                <w:rFonts w:hint="eastAsia" w:ascii="宋体" w:hAnsi="宋体" w:eastAsia="宋体" w:cs="宋体"/>
                <w:szCs w:val="21"/>
              </w:rPr>
              <w:t>以上项累计最高得100分。</w:t>
            </w:r>
          </w:p>
          <w:p>
            <w:pPr>
              <w:adjustRightInd w:val="0"/>
              <w:snapToGrid w:val="0"/>
              <w:spacing w:line="360" w:lineRule="auto"/>
              <w:jc w:val="left"/>
              <w:rPr>
                <w:rFonts w:ascii="宋体" w:hAnsi="宋体" w:eastAsia="宋体" w:cs="宋体"/>
                <w:szCs w:val="21"/>
              </w:rPr>
            </w:pPr>
            <w:r>
              <w:rPr>
                <w:rFonts w:hint="eastAsia" w:ascii="宋体" w:hAnsi="宋体" w:eastAsia="宋体" w:cs="宋体"/>
                <w:szCs w:val="21"/>
              </w:rPr>
              <w:t>（二）评分依据：</w:t>
            </w:r>
          </w:p>
          <w:p>
            <w:pPr>
              <w:adjustRightInd w:val="0"/>
              <w:snapToGrid w:val="0"/>
              <w:spacing w:line="360" w:lineRule="auto"/>
              <w:jc w:val="left"/>
              <w:rPr>
                <w:rFonts w:ascii="宋体" w:hAnsi="宋体" w:eastAsia="宋体" w:cs="宋体"/>
                <w:szCs w:val="21"/>
              </w:rPr>
            </w:pPr>
            <w:r>
              <w:rPr>
                <w:rFonts w:hint="eastAsia" w:ascii="宋体" w:hAnsi="宋体" w:eastAsia="宋体" w:cs="宋体"/>
                <w:szCs w:val="21"/>
              </w:rPr>
              <w:t>1.要求提供投标人相关证明资料（团队成员聘用合同关键页、学历证书、职称证书、</w:t>
            </w:r>
            <w:r>
              <w:rPr>
                <w:rFonts w:hint="eastAsia" w:ascii="宋体" w:hAnsi="宋体" w:eastAsia="宋体" w:cs="宋体"/>
                <w:color w:val="000000"/>
                <w:szCs w:val="21"/>
              </w:rPr>
              <w:t>团队成员近一个月在投标单位缴纳社保的证明材料等</w:t>
            </w:r>
            <w:r>
              <w:rPr>
                <w:rFonts w:hint="eastAsia" w:ascii="宋体" w:hAnsi="宋体" w:eastAsia="宋体" w:cs="宋体"/>
                <w:szCs w:val="21"/>
              </w:rPr>
              <w:t>）作为得分依据。</w:t>
            </w:r>
          </w:p>
          <w:p>
            <w:pPr>
              <w:adjustRightInd w:val="0"/>
              <w:snapToGrid w:val="0"/>
              <w:spacing w:line="360" w:lineRule="auto"/>
              <w:jc w:val="left"/>
              <w:rPr>
                <w:rFonts w:ascii="宋体" w:hAnsi="宋体" w:eastAsia="宋体" w:cs="宋体"/>
                <w:szCs w:val="21"/>
              </w:rPr>
            </w:pPr>
            <w:r>
              <w:rPr>
                <w:rFonts w:hint="eastAsia" w:ascii="宋体" w:hAnsi="宋体" w:eastAsia="宋体" w:cs="宋体"/>
                <w:szCs w:val="21"/>
              </w:rPr>
              <w:t>2.以上资料均要求提供扫描件（或官方网站截图，截图应包含网址栏），原件备查。评分中出现无证明资料或专家无法凭所提供资料判断是否得分的情况，一律作不得分处理。</w:t>
            </w:r>
          </w:p>
          <w:p>
            <w:pPr>
              <w:adjustRightInd w:val="0"/>
              <w:snapToGrid w:val="0"/>
              <w:spacing w:line="360" w:lineRule="auto"/>
              <w:jc w:val="left"/>
              <w:rPr>
                <w:rFonts w:ascii="宋体" w:hAnsi="宋体" w:eastAsia="宋体" w:cs="宋体"/>
                <w:szCs w:val="21"/>
              </w:rPr>
            </w:pPr>
            <w:r>
              <w:rPr>
                <w:rFonts w:hint="eastAsia" w:ascii="宋体" w:hAnsi="宋体" w:eastAsia="宋体" w:cs="宋体"/>
                <w:szCs w:val="21"/>
              </w:rPr>
              <w:t>3. 要求提供学历、学位证书的，投标人需提供证书扫描件以及学信网查询记录（官方网站截图，截图应包含网址栏）。对于较早颁发的学历学位证书，学信网无法查询的，除提供证书扫描件外，还需提供毕业院校、人社部门等颁发机构或监管机构等单位出具的证明作为得分的依据。</w:t>
            </w:r>
          </w:p>
          <w:p>
            <w:pPr>
              <w:adjustRightInd w:val="0"/>
              <w:snapToGrid w:val="0"/>
              <w:spacing w:line="360" w:lineRule="auto"/>
              <w:jc w:val="left"/>
              <w:rPr>
                <w:rFonts w:ascii="宋体" w:hAnsi="宋体" w:eastAsia="宋体" w:cs="宋体"/>
                <w:szCs w:val="21"/>
              </w:rPr>
            </w:pPr>
            <w:r>
              <w:rPr>
                <w:rFonts w:hint="eastAsia" w:ascii="宋体" w:hAnsi="宋体" w:eastAsia="宋体" w:cs="宋体"/>
                <w:szCs w:val="21"/>
              </w:rPr>
              <w:t>4.</w:t>
            </w:r>
            <w:r>
              <w:rPr>
                <w:rFonts w:hint="eastAsia" w:ascii="宋体" w:hAnsi="宋体" w:eastAsia="宋体" w:cs="宋体"/>
                <w:color w:val="000000"/>
                <w:szCs w:val="21"/>
              </w:rPr>
              <w:t>社保证明资料可为社保收缴部门盖章证明资料、社保窗口打印资料或含网址栏的社保官网截图，代缴或补缴无效。</w:t>
            </w:r>
            <w:r>
              <w:rPr>
                <w:rFonts w:hint="eastAsia" w:ascii="宋体" w:hAnsi="宋体" w:eastAsia="宋体" w:cs="宋体"/>
                <w:szCs w:val="21"/>
              </w:rPr>
              <w:t>如开标日上一个月的社保材料因社保部门原因暂时无法取得，则可以往前顺延一个月。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59" w:type="dxa"/>
            <w:vMerge w:val="continue"/>
            <w:tcBorders>
              <w:left w:val="single" w:color="auto" w:sz="4" w:space="0"/>
              <w:right w:val="single" w:color="auto" w:sz="4" w:space="0"/>
            </w:tcBorders>
            <w:vAlign w:val="center"/>
          </w:tcPr>
          <w:p>
            <w:pPr>
              <w:widowControl/>
              <w:adjustRightInd w:val="0"/>
              <w:snapToGrid w:val="0"/>
              <w:ind w:firstLine="105" w:firstLineChars="50"/>
              <w:jc w:val="center"/>
              <w:rPr>
                <w:rFonts w:ascii="宋体" w:hAnsi="宋体" w:eastAsia="宋体" w:cs="宋体"/>
                <w:szCs w:val="21"/>
              </w:rPr>
            </w:pPr>
          </w:p>
        </w:tc>
        <w:tc>
          <w:tcPr>
            <w:tcW w:w="70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eastAsia="宋体" w:cs="宋体"/>
                <w:szCs w:val="21"/>
              </w:rPr>
            </w:pPr>
            <w:r>
              <w:rPr>
                <w:rFonts w:hint="eastAsia" w:ascii="宋体" w:hAnsi="宋体" w:eastAsia="宋体" w:cs="宋体"/>
                <w:szCs w:val="21"/>
              </w:rPr>
              <w:t>5</w:t>
            </w:r>
          </w:p>
        </w:tc>
        <w:tc>
          <w:tcPr>
            <w:tcW w:w="141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eastAsia="宋体" w:cs="宋体"/>
                <w:szCs w:val="21"/>
              </w:rPr>
            </w:pPr>
            <w:r>
              <w:rPr>
                <w:rFonts w:hint="eastAsia" w:ascii="宋体" w:hAnsi="宋体" w:eastAsia="宋体" w:cs="宋体"/>
                <w:szCs w:val="21"/>
              </w:rPr>
              <w:t>服务网点</w:t>
            </w:r>
          </w:p>
        </w:tc>
        <w:tc>
          <w:tcPr>
            <w:tcW w:w="85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eastAsia="宋体" w:cs="宋体"/>
                <w:szCs w:val="21"/>
              </w:rPr>
            </w:pPr>
            <w:r>
              <w:rPr>
                <w:rFonts w:hint="eastAsia" w:ascii="宋体" w:hAnsi="宋体" w:eastAsia="宋体" w:cs="宋体"/>
                <w:szCs w:val="21"/>
              </w:rPr>
              <w:t>5</w:t>
            </w:r>
          </w:p>
        </w:tc>
        <w:tc>
          <w:tcPr>
            <w:tcW w:w="540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left"/>
              <w:rPr>
                <w:rFonts w:ascii="宋体" w:hAnsi="宋体" w:eastAsia="宋体" w:cs="宋体"/>
                <w:szCs w:val="21"/>
              </w:rPr>
            </w:pPr>
            <w:r>
              <w:rPr>
                <w:rFonts w:hint="eastAsia" w:ascii="宋体" w:hAnsi="宋体" w:eastAsia="宋体" w:cs="宋体"/>
                <w:szCs w:val="21"/>
              </w:rPr>
              <w:t>（一）评分内容：</w:t>
            </w:r>
          </w:p>
          <w:p>
            <w:pPr>
              <w:adjustRightInd w:val="0"/>
              <w:snapToGrid w:val="0"/>
              <w:spacing w:line="360" w:lineRule="auto"/>
              <w:jc w:val="left"/>
              <w:rPr>
                <w:rFonts w:ascii="宋体" w:hAnsi="宋体" w:eastAsia="宋体" w:cs="宋体"/>
                <w:szCs w:val="21"/>
              </w:rPr>
            </w:pPr>
            <w:r>
              <w:rPr>
                <w:rFonts w:hint="eastAsia" w:ascii="宋体" w:hAnsi="宋体" w:eastAsia="宋体" w:cs="宋体"/>
                <w:szCs w:val="21"/>
              </w:rPr>
              <w:t>供应商承诺中标后提供本地经营（服务）网点的，得100分。</w:t>
            </w:r>
          </w:p>
          <w:p>
            <w:pPr>
              <w:adjustRightInd w:val="0"/>
              <w:snapToGrid w:val="0"/>
              <w:spacing w:line="360" w:lineRule="auto"/>
              <w:jc w:val="left"/>
              <w:rPr>
                <w:rFonts w:ascii="宋体" w:hAnsi="宋体" w:eastAsia="宋体" w:cs="宋体"/>
                <w:szCs w:val="21"/>
              </w:rPr>
            </w:pPr>
            <w:r>
              <w:rPr>
                <w:rFonts w:hint="eastAsia" w:ascii="宋体" w:hAnsi="宋体" w:eastAsia="宋体" w:cs="宋体"/>
                <w:szCs w:val="21"/>
              </w:rPr>
              <w:t>（二）评分依据:</w:t>
            </w:r>
          </w:p>
          <w:p>
            <w:pPr>
              <w:adjustRightInd w:val="0"/>
              <w:snapToGrid w:val="0"/>
              <w:spacing w:line="360" w:lineRule="auto"/>
              <w:jc w:val="left"/>
              <w:rPr>
                <w:rFonts w:ascii="宋体" w:hAnsi="宋体" w:eastAsia="宋体" w:cs="宋体"/>
                <w:szCs w:val="21"/>
              </w:rPr>
            </w:pPr>
            <w:r>
              <w:rPr>
                <w:rFonts w:hint="eastAsia" w:ascii="宋体" w:hAnsi="宋体" w:eastAsia="宋体" w:cs="宋体"/>
                <w:szCs w:val="21"/>
              </w:rPr>
              <w:t>要求提供承诺函作为得分依据，未提供承诺函的不得分。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5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eastAsia="宋体" w:cs="宋体"/>
                <w:szCs w:val="21"/>
              </w:rPr>
            </w:pPr>
            <w:r>
              <w:rPr>
                <w:rFonts w:hint="eastAsia" w:ascii="宋体" w:hAnsi="宋体" w:eastAsia="宋体" w:cs="宋体"/>
                <w:szCs w:val="21"/>
              </w:rPr>
              <w:t>4</w:t>
            </w:r>
          </w:p>
        </w:tc>
        <w:tc>
          <w:tcPr>
            <w:tcW w:w="2977"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eastAsia="宋体" w:cs="宋体"/>
                <w:szCs w:val="21"/>
              </w:rPr>
            </w:pPr>
            <w:r>
              <w:rPr>
                <w:rFonts w:hint="eastAsia" w:ascii="宋体" w:hAnsi="宋体" w:eastAsia="宋体" w:cs="宋体"/>
                <w:szCs w:val="21"/>
              </w:rPr>
              <w:t>诚信情况</w:t>
            </w:r>
          </w:p>
        </w:tc>
        <w:tc>
          <w:tcPr>
            <w:tcW w:w="540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eastAsia="宋体" w:cs="宋体"/>
                <w:szCs w:val="21"/>
              </w:rPr>
            </w:pPr>
            <w:r>
              <w:rPr>
                <w:rFonts w:hint="eastAsia" w:ascii="宋体" w:hAnsi="宋体" w:eastAsia="宋体" w:cs="宋体"/>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59" w:type="dxa"/>
            <w:vMerge w:val="restart"/>
            <w:tcBorders>
              <w:top w:val="single" w:color="auto" w:sz="4" w:space="0"/>
              <w:left w:val="single" w:color="auto" w:sz="4" w:space="0"/>
              <w:right w:val="single" w:color="auto" w:sz="4" w:space="0"/>
            </w:tcBorders>
            <w:vAlign w:val="center"/>
          </w:tcPr>
          <w:p>
            <w:pPr>
              <w:adjustRightInd w:val="0"/>
              <w:snapToGrid w:val="0"/>
              <w:jc w:val="center"/>
              <w:rPr>
                <w:rFonts w:ascii="宋体" w:hAnsi="宋体" w:eastAsia="宋体" w:cs="宋体"/>
                <w:szCs w:val="21"/>
              </w:rPr>
            </w:pPr>
          </w:p>
        </w:tc>
        <w:tc>
          <w:tcPr>
            <w:tcW w:w="70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eastAsia="宋体" w:cs="宋体"/>
                <w:szCs w:val="21"/>
              </w:rPr>
            </w:pPr>
            <w:r>
              <w:rPr>
                <w:rFonts w:hint="eastAsia" w:ascii="宋体" w:hAnsi="宋体" w:eastAsia="宋体" w:cs="宋体"/>
                <w:szCs w:val="21"/>
              </w:rPr>
              <w:t>序号</w:t>
            </w:r>
          </w:p>
        </w:tc>
        <w:tc>
          <w:tcPr>
            <w:tcW w:w="141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eastAsia="宋体" w:cs="宋体"/>
                <w:szCs w:val="21"/>
              </w:rPr>
            </w:pPr>
            <w:r>
              <w:rPr>
                <w:rFonts w:hint="eastAsia" w:ascii="宋体" w:hAnsi="宋体" w:eastAsia="宋体" w:cs="宋体"/>
                <w:szCs w:val="21"/>
              </w:rPr>
              <w:t>评分因素</w:t>
            </w:r>
          </w:p>
        </w:tc>
        <w:tc>
          <w:tcPr>
            <w:tcW w:w="85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eastAsia="宋体" w:cs="宋体"/>
                <w:szCs w:val="21"/>
              </w:rPr>
            </w:pPr>
            <w:r>
              <w:rPr>
                <w:rFonts w:hint="eastAsia" w:ascii="宋体" w:hAnsi="宋体" w:eastAsia="宋体" w:cs="宋体"/>
                <w:szCs w:val="21"/>
              </w:rPr>
              <w:t>权重</w:t>
            </w:r>
          </w:p>
          <w:p>
            <w:pPr>
              <w:adjustRightInd w:val="0"/>
              <w:snapToGrid w:val="0"/>
              <w:jc w:val="center"/>
              <w:rPr>
                <w:rFonts w:ascii="宋体" w:hAnsi="宋体" w:eastAsia="宋体" w:cs="宋体"/>
                <w:szCs w:val="21"/>
              </w:rPr>
            </w:pPr>
            <w:r>
              <w:rPr>
                <w:rFonts w:hint="eastAsia" w:ascii="宋体" w:hAnsi="宋体" w:eastAsia="宋体" w:cs="宋体"/>
                <w:szCs w:val="21"/>
              </w:rPr>
              <w:t>（%）</w:t>
            </w:r>
          </w:p>
        </w:tc>
        <w:tc>
          <w:tcPr>
            <w:tcW w:w="540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eastAsia="宋体" w:cs="宋体"/>
                <w:szCs w:val="21"/>
              </w:rPr>
            </w:pPr>
            <w:r>
              <w:rPr>
                <w:rFonts w:hint="eastAsia" w:ascii="宋体" w:hAnsi="宋体" w:eastAsia="宋体" w:cs="宋体"/>
                <w:szCs w:val="21"/>
              </w:rPr>
              <w:t>评分准则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59" w:type="dxa"/>
            <w:vMerge w:val="continue"/>
            <w:tcBorders>
              <w:left w:val="single" w:color="auto" w:sz="4" w:space="0"/>
              <w:right w:val="single" w:color="auto" w:sz="4" w:space="0"/>
            </w:tcBorders>
            <w:vAlign w:val="center"/>
          </w:tcPr>
          <w:p>
            <w:pPr>
              <w:adjustRightInd w:val="0"/>
              <w:snapToGrid w:val="0"/>
              <w:jc w:val="center"/>
              <w:rPr>
                <w:rFonts w:ascii="宋体" w:hAnsi="宋体" w:eastAsia="宋体" w:cs="宋体"/>
                <w:szCs w:val="21"/>
              </w:rPr>
            </w:pPr>
          </w:p>
        </w:tc>
        <w:tc>
          <w:tcPr>
            <w:tcW w:w="70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eastAsia="宋体" w:cs="宋体"/>
                <w:szCs w:val="21"/>
              </w:rPr>
            </w:pPr>
            <w:r>
              <w:rPr>
                <w:rFonts w:hint="eastAsia" w:ascii="宋体" w:hAnsi="宋体" w:eastAsia="宋体" w:cs="宋体"/>
                <w:szCs w:val="21"/>
              </w:rPr>
              <w:t>1</w:t>
            </w:r>
          </w:p>
        </w:tc>
        <w:tc>
          <w:tcPr>
            <w:tcW w:w="141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eastAsia="宋体" w:cs="宋体"/>
                <w:szCs w:val="21"/>
              </w:rPr>
            </w:pPr>
            <w:r>
              <w:rPr>
                <w:rFonts w:hint="eastAsia" w:ascii="宋体" w:hAnsi="宋体" w:eastAsia="宋体" w:cs="宋体"/>
                <w:szCs w:val="21"/>
              </w:rPr>
              <w:t>诚信情况</w:t>
            </w:r>
          </w:p>
        </w:tc>
        <w:tc>
          <w:tcPr>
            <w:tcW w:w="85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eastAsia="宋体" w:cs="宋体"/>
                <w:szCs w:val="21"/>
              </w:rPr>
            </w:pPr>
            <w:r>
              <w:rPr>
                <w:rFonts w:hint="eastAsia" w:ascii="宋体" w:hAnsi="宋体" w:eastAsia="宋体" w:cs="宋体"/>
                <w:szCs w:val="21"/>
              </w:rPr>
              <w:t>5</w:t>
            </w:r>
          </w:p>
        </w:tc>
        <w:tc>
          <w:tcPr>
            <w:tcW w:w="540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left"/>
              <w:rPr>
                <w:rFonts w:ascii="宋体" w:hAnsi="宋体" w:eastAsia="宋体" w:cs="宋体"/>
                <w:szCs w:val="21"/>
              </w:rPr>
            </w:pPr>
            <w:r>
              <w:rPr>
                <w:rFonts w:hint="eastAsia" w:ascii="宋体" w:hAnsi="宋体" w:eastAsia="宋体" w:cs="宋体"/>
                <w:szCs w:val="21"/>
              </w:rPr>
              <w:t>投标人提供法人和非法人组织公共信用信息报告，在存在诚信相关问题且在主管部门相关处理措施实施期限内的，本项不得分，否则得满分。</w:t>
            </w:r>
          </w:p>
        </w:tc>
      </w:tr>
    </w:tbl>
    <w:p>
      <w:pPr>
        <w:rPr>
          <w:rFonts w:ascii="Times New Roman" w:hAnsi="Times New Roman" w:eastAsia="宋体" w:cs="Times New Roman"/>
          <w:szCs w:val="24"/>
        </w:rPr>
      </w:pPr>
    </w:p>
    <w:p>
      <w:pPr>
        <w:pStyle w:val="5"/>
        <w:rPr>
          <w:sz w:val="32"/>
          <w:szCs w:val="32"/>
        </w:rPr>
      </w:pPr>
      <w:bookmarkStart w:id="5" w:name="InsertEnd"/>
      <w:bookmarkEnd w:id="5"/>
      <w:r>
        <w:rPr>
          <w:rFonts w:hint="eastAsia"/>
          <w:sz w:val="32"/>
          <w:szCs w:val="32"/>
        </w:rPr>
        <w:t>其他关键</w:t>
      </w:r>
      <w:r>
        <w:rPr>
          <w:sz w:val="32"/>
          <w:szCs w:val="32"/>
        </w:rPr>
        <w:t>信息</w:t>
      </w:r>
    </w:p>
    <w:p>
      <w:pPr>
        <w:ind w:firstLine="420"/>
        <w:jc w:val="left"/>
      </w:pPr>
      <w:r>
        <w:rPr>
          <w:rFonts w:hint="eastAsia"/>
          <w:b/>
        </w:rPr>
        <w:t>（一）非评定分离项目</w:t>
      </w:r>
    </w:p>
    <w:tbl>
      <w:tblPr>
        <w:tblStyle w:val="54"/>
        <w:tblW w:w="842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64"/>
        <w:gridCol w:w="41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264" w:type="dxa"/>
            <w:vAlign w:val="center"/>
          </w:tcPr>
          <w:p>
            <w:pPr>
              <w:adjustRightInd w:val="0"/>
              <w:snapToGrid w:val="0"/>
              <w:jc w:val="center"/>
            </w:pPr>
            <w:bookmarkStart w:id="6" w:name="_Hlk74239733"/>
            <w:r>
              <w:t>评标方法</w:t>
            </w:r>
          </w:p>
        </w:tc>
        <w:tc>
          <w:tcPr>
            <w:tcW w:w="4159" w:type="dxa"/>
          </w:tcPr>
          <w:p>
            <w:pPr>
              <w:jc w:val="center"/>
            </w:pPr>
            <w:r>
              <w:rPr>
                <w:rFonts w:hint="eastAsia"/>
              </w:rPr>
              <w:t>综合评分法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264" w:type="dxa"/>
            <w:vAlign w:val="center"/>
          </w:tcPr>
          <w:p>
            <w:pPr>
              <w:adjustRightInd w:val="0"/>
              <w:snapToGrid w:val="0"/>
              <w:jc w:val="center"/>
            </w:pPr>
            <w:r>
              <w:t>候选中标供应商家数</w:t>
            </w:r>
          </w:p>
        </w:tc>
        <w:tc>
          <w:tcPr>
            <w:tcW w:w="4159" w:type="dxa"/>
            <w:vAlign w:val="center"/>
          </w:tcPr>
          <w:p>
            <w:pPr>
              <w:jc w:val="center"/>
            </w:pPr>
            <w:r>
              <w:rPr>
                <w:rFonts w:hint="eastAsia"/>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264" w:type="dxa"/>
            <w:vAlign w:val="center"/>
          </w:tcPr>
          <w:p>
            <w:pPr>
              <w:adjustRightInd w:val="0"/>
              <w:snapToGrid w:val="0"/>
              <w:jc w:val="center"/>
            </w:pPr>
            <w:r>
              <w:t>中标供应商家数</w:t>
            </w:r>
          </w:p>
        </w:tc>
        <w:tc>
          <w:tcPr>
            <w:tcW w:w="4159" w:type="dxa"/>
            <w:vAlign w:val="center"/>
          </w:tcPr>
          <w:p>
            <w:pPr>
              <w:jc w:val="center"/>
            </w:pPr>
            <w:r>
              <w:rPr>
                <w:rFonts w:hint="eastAsia"/>
              </w:rPr>
              <w:t>1</w:t>
            </w:r>
          </w:p>
        </w:tc>
      </w:tr>
      <w:bookmarkEnd w:id="6"/>
    </w:tbl>
    <w:p>
      <w:pPr>
        <w:adjustRightInd w:val="0"/>
        <w:snapToGrid w:val="0"/>
        <w:spacing w:line="360" w:lineRule="auto"/>
        <w:jc w:val="left"/>
        <w:rPr>
          <w:b/>
          <w:color w:val="0070C0"/>
        </w:rPr>
      </w:pPr>
    </w:p>
    <w:p>
      <w:pPr>
        <w:ind w:firstLine="420" w:firstLineChars="200"/>
        <w:rPr>
          <w:b/>
        </w:rPr>
      </w:pPr>
      <w:r>
        <w:rPr>
          <w:rFonts w:hint="eastAsia"/>
          <w:b/>
        </w:rPr>
        <w:t>（二）其他事项</w:t>
      </w:r>
    </w:p>
    <w:p>
      <w:pPr>
        <w:ind w:firstLine="420" w:firstLineChars="200"/>
        <w:rPr>
          <w:b/>
          <w:bCs/>
        </w:rPr>
      </w:pPr>
      <w:r>
        <w:rPr>
          <w:rFonts w:hint="eastAsia"/>
          <w:b/>
          <w:bCs/>
        </w:rPr>
        <w:t>关于享受优惠政策的主体及价格扣除比例</w:t>
      </w:r>
    </w:p>
    <w:p>
      <w:pPr>
        <w:ind w:firstLine="420" w:firstLineChars="200"/>
      </w:pPr>
      <w:r>
        <w:rPr>
          <w:rFonts w:hint="eastAsia"/>
        </w:rPr>
        <w:t>（1）投标人提供的服务</w:t>
      </w:r>
      <w:r>
        <w:rPr>
          <w:rFonts w:hint="eastAsia"/>
          <w:b/>
        </w:rPr>
        <w:t>全部</w:t>
      </w:r>
      <w:r>
        <w:rPr>
          <w:rFonts w:hint="eastAsia"/>
        </w:rPr>
        <w:t>均由优惠主体承接，则对其投标总价给予</w:t>
      </w:r>
      <w:r>
        <w:rPr>
          <w:color w:val="FF0000"/>
          <w:highlight w:val="yellow"/>
          <w:u w:val="single"/>
        </w:rPr>
        <w:t xml:space="preserve">  10  %</w:t>
      </w:r>
      <w:r>
        <w:rPr>
          <w:rFonts w:hint="eastAsia"/>
        </w:rPr>
        <w:t>的扣除，用扣除后的价格参与评审。满足多项优惠政策的企业，不重复享受多项价格扣除政策。</w:t>
      </w:r>
    </w:p>
    <w:p>
      <w:pPr>
        <w:ind w:firstLine="420" w:firstLineChars="200"/>
      </w:pPr>
      <w:r>
        <w:rPr>
          <w:rFonts w:hint="eastAsia"/>
        </w:rPr>
        <w:t>备注：（a）优惠主体包括小型企业、微型企业、监狱企业、残疾人福利性单位；中小企业是指在中华人民共和国境内依法设立，依据国务院批准的中小企业划分标准确定的中型企业、小型企业、微型企业，但与大企业的负责人为同一人，或者与大企业存在直接控股、管理关系的除外；符合中小企业划分标准的个体工商户，在政府采购活动中视同中小企业；(</w:t>
      </w:r>
      <w:r>
        <w:t>b)</w:t>
      </w:r>
      <w:r>
        <w:rPr>
          <w:rFonts w:hint="eastAsia"/>
        </w:rPr>
        <w:t>优惠主体承接是指提供服务的人员为中小企业依照《中华人民共和国劳动合同法》订立劳动合同的从业人员。</w:t>
      </w:r>
    </w:p>
    <w:p>
      <w:pPr>
        <w:ind w:firstLine="420" w:firstLineChars="200"/>
      </w:pPr>
      <w:r>
        <w:rPr>
          <w:rFonts w:hint="eastAsia"/>
        </w:rPr>
        <w:t>（2）根据《工业和信息化部、国家统计局、国家发展和改革委员会、财政部关于印发中小企业划型标准规定的通知》（工信部联企业〔2011〕300 号），</w:t>
      </w:r>
      <w:bookmarkStart w:id="7" w:name="_Hlk71970739"/>
      <w:r>
        <w:rPr>
          <w:rFonts w:hint="eastAsia"/>
          <w:color w:val="FF0000"/>
        </w:rPr>
        <w:t>本项目</w:t>
      </w:r>
      <w:bookmarkStart w:id="8" w:name="_Hlk71924718"/>
      <w:r>
        <w:rPr>
          <w:rFonts w:hint="eastAsia"/>
          <w:color w:val="FF0000"/>
        </w:rPr>
        <w:t>采购标的（服务需求）对应的中小企业划分标准所属行业</w:t>
      </w:r>
      <w:bookmarkEnd w:id="8"/>
      <w:r>
        <w:rPr>
          <w:rFonts w:hint="eastAsia"/>
          <w:color w:val="FF0000"/>
        </w:rPr>
        <w:t>为</w:t>
      </w:r>
      <w:bookmarkEnd w:id="7"/>
      <w:r>
        <w:rPr>
          <w:rFonts w:hint="eastAsia"/>
          <w:color w:val="FF0000"/>
          <w:u w:val="single"/>
        </w:rPr>
        <w:t xml:space="preserve">其他未列明行业  </w:t>
      </w:r>
      <w:r>
        <w:rPr>
          <w:rFonts w:hint="eastAsia"/>
          <w:color w:val="FF0000"/>
        </w:rPr>
        <w:t>。</w:t>
      </w:r>
    </w:p>
    <w:p>
      <w:pPr>
        <w:ind w:firstLine="420" w:firstLineChars="200"/>
      </w:pPr>
      <w:r>
        <w:rPr>
          <w:rFonts w:hint="eastAsia"/>
        </w:rPr>
        <w:t>（3）小型企业、微型企业、残疾人福利性单位作为优惠主体的认定资料为《中小企业声明函》、《残疾人福利性单位声明函》；监狱企业作为优惠主体的认定资料为省级以上监狱管理局、戒毒管理局出具的监狱企业证明文件。声明函样式见本招标文件第一册专用条款第三章“</w:t>
      </w:r>
      <w:r>
        <w:rPr>
          <w:rFonts w:hint="eastAsia" w:ascii="宋体" w:hAnsi="宋体"/>
          <w:szCs w:val="21"/>
        </w:rPr>
        <w:t>投标文件格式</w:t>
      </w:r>
      <w:r>
        <w:rPr>
          <w:rFonts w:hint="eastAsia"/>
        </w:rPr>
        <w:t>”中“五、投标人情况介绍”）。</w:t>
      </w:r>
    </w:p>
    <w:p>
      <w:pPr>
        <w:ind w:firstLine="420" w:firstLineChars="200"/>
        <w:rPr>
          <w:rFonts w:ascii="宋体" w:hAnsi="宋体" w:eastAsia="黑体" w:cs="Times New Roman"/>
          <w:b/>
          <w:bCs/>
          <w:kern w:val="44"/>
          <w:sz w:val="28"/>
          <w:szCs w:val="44"/>
        </w:rPr>
      </w:pPr>
      <w:r>
        <w:rPr>
          <w:rFonts w:hint="eastAsia"/>
        </w:rPr>
        <w:t>（4）享受价格扣除获得政府采购合同的，小微企业不得将合同分包给大中型企业。</w:t>
      </w:r>
    </w:p>
    <w:p>
      <w:pPr>
        <w:pStyle w:val="2"/>
      </w:pPr>
      <w:r>
        <w:rPr>
          <w:rFonts w:hint="eastAsia"/>
        </w:rPr>
        <w:t>目   录</w:t>
      </w:r>
    </w:p>
    <w:p>
      <w:pPr>
        <w:rPr>
          <w:rFonts w:ascii="Times New Roman" w:hAnsi="Times New Roman" w:eastAsia="宋体" w:cs="Times New Roman"/>
          <w:b/>
          <w:sz w:val="24"/>
          <w:szCs w:val="24"/>
        </w:rPr>
      </w:pPr>
      <w:r>
        <w:rPr>
          <w:rFonts w:hint="eastAsia" w:ascii="Times New Roman" w:hAnsi="Times New Roman" w:eastAsia="宋体" w:cs="Times New Roman"/>
          <w:b/>
          <w:sz w:val="24"/>
          <w:szCs w:val="24"/>
        </w:rPr>
        <w:t>第一册 专用条款</w:t>
      </w:r>
    </w:p>
    <w:p>
      <w:pPr>
        <w:ind w:firstLine="1440" w:firstLineChars="600"/>
        <w:rPr>
          <w:rFonts w:ascii="Times New Roman" w:hAnsi="Times New Roman" w:eastAsia="宋体" w:cs="Times New Roman"/>
          <w:sz w:val="24"/>
          <w:szCs w:val="24"/>
        </w:rPr>
      </w:pPr>
      <w:r>
        <w:rPr>
          <w:rFonts w:hint="eastAsia" w:ascii="Times New Roman" w:hAnsi="Times New Roman" w:eastAsia="宋体" w:cs="Times New Roman"/>
          <w:sz w:val="24"/>
          <w:szCs w:val="24"/>
        </w:rPr>
        <w:t>关键信息</w:t>
      </w:r>
    </w:p>
    <w:p>
      <w:pPr>
        <w:ind w:left="630" w:leftChars="300" w:firstLine="630" w:firstLineChars="300"/>
        <w:rPr>
          <w:rFonts w:ascii="宋体" w:hAnsi="宋体" w:eastAsia="宋体" w:cs="Times New Roman"/>
          <w:szCs w:val="21"/>
        </w:rPr>
      </w:pPr>
      <w:r>
        <w:rPr>
          <w:rFonts w:hint="eastAsia" w:ascii="宋体" w:hAnsi="宋体" w:eastAsia="宋体" w:cs="Times New Roman"/>
          <w:szCs w:val="21"/>
        </w:rPr>
        <w:t>第一章  招标公告</w:t>
      </w:r>
    </w:p>
    <w:p>
      <w:pPr>
        <w:ind w:left="630" w:leftChars="300" w:firstLine="630" w:firstLineChars="300"/>
        <w:rPr>
          <w:rFonts w:ascii="宋体" w:hAnsi="宋体" w:eastAsia="宋体" w:cs="Times New Roman"/>
          <w:szCs w:val="21"/>
        </w:rPr>
      </w:pPr>
      <w:r>
        <w:rPr>
          <w:rFonts w:hint="eastAsia" w:ascii="宋体" w:hAnsi="宋体" w:eastAsia="宋体" w:cs="Times New Roman"/>
          <w:szCs w:val="21"/>
        </w:rPr>
        <w:t>第二章  招标项目需求</w:t>
      </w:r>
    </w:p>
    <w:p>
      <w:pPr>
        <w:ind w:left="630" w:leftChars="300" w:firstLine="630" w:firstLineChars="300"/>
        <w:rPr>
          <w:rFonts w:ascii="宋体" w:hAnsi="宋体" w:eastAsia="宋体" w:cs="Times New Roman"/>
          <w:szCs w:val="21"/>
        </w:rPr>
      </w:pPr>
      <w:r>
        <w:rPr>
          <w:rFonts w:hint="eastAsia" w:ascii="宋体" w:hAnsi="宋体" w:eastAsia="宋体" w:cs="Times New Roman"/>
          <w:szCs w:val="21"/>
        </w:rPr>
        <w:t>第三章  投标文件格式</w:t>
      </w:r>
    </w:p>
    <w:p>
      <w:pPr>
        <w:ind w:left="630" w:leftChars="300" w:firstLine="630" w:firstLineChars="300"/>
        <w:rPr>
          <w:rFonts w:ascii="宋体" w:hAnsi="宋体" w:eastAsia="宋体" w:cs="Times New Roman"/>
          <w:szCs w:val="21"/>
        </w:rPr>
      </w:pPr>
      <w:r>
        <w:rPr>
          <w:rFonts w:hint="eastAsia" w:ascii="宋体" w:hAnsi="宋体" w:eastAsia="宋体" w:cs="Times New Roman"/>
          <w:szCs w:val="21"/>
        </w:rPr>
        <w:t>第四章  采购合同的签订、履行及验收</w:t>
      </w:r>
    </w:p>
    <w:p>
      <w:pPr>
        <w:ind w:left="630" w:leftChars="300" w:firstLine="630" w:firstLineChars="300"/>
        <w:rPr>
          <w:rFonts w:ascii="宋体" w:hAnsi="宋体" w:eastAsia="宋体" w:cs="Times New Roman"/>
          <w:szCs w:val="21"/>
        </w:rPr>
      </w:pPr>
      <w:r>
        <w:rPr>
          <w:rFonts w:hint="eastAsia" w:ascii="宋体" w:hAnsi="宋体" w:eastAsia="宋体" w:cs="Times New Roman"/>
          <w:szCs w:val="21"/>
        </w:rPr>
        <w:t>第五章  采购履约情况反馈表</w:t>
      </w:r>
    </w:p>
    <w:p>
      <w:pPr>
        <w:ind w:left="630" w:leftChars="300" w:firstLine="630" w:firstLineChars="300"/>
        <w:rPr>
          <w:rFonts w:ascii="宋体" w:hAnsi="宋体" w:eastAsia="宋体" w:cs="Times New Roman"/>
          <w:szCs w:val="21"/>
        </w:rPr>
      </w:pPr>
    </w:p>
    <w:p>
      <w:pPr>
        <w:rPr>
          <w:rFonts w:ascii="Times New Roman" w:hAnsi="Times New Roman" w:eastAsia="宋体" w:cs="Times New Roman"/>
          <w:b/>
          <w:sz w:val="24"/>
          <w:szCs w:val="24"/>
        </w:rPr>
      </w:pPr>
    </w:p>
    <w:p>
      <w:pPr>
        <w:rPr>
          <w:rFonts w:ascii="Times New Roman" w:hAnsi="Times New Roman" w:eastAsia="宋体" w:cs="Times New Roman"/>
          <w:b/>
          <w:sz w:val="24"/>
          <w:szCs w:val="24"/>
        </w:rPr>
      </w:pPr>
      <w:r>
        <w:rPr>
          <w:rFonts w:hint="eastAsia" w:ascii="Times New Roman" w:hAnsi="Times New Roman" w:eastAsia="宋体" w:cs="Times New Roman"/>
          <w:b/>
          <w:sz w:val="24"/>
          <w:szCs w:val="24"/>
        </w:rPr>
        <w:t>第二册 通用条款</w:t>
      </w:r>
    </w:p>
    <w:p>
      <w:pPr>
        <w:ind w:left="630" w:leftChars="300" w:firstLine="630" w:firstLineChars="300"/>
        <w:rPr>
          <w:rFonts w:ascii="宋体" w:hAnsi="宋体" w:eastAsia="宋体" w:cs="Times New Roman"/>
          <w:szCs w:val="21"/>
        </w:rPr>
      </w:pPr>
      <w:r>
        <w:rPr>
          <w:rFonts w:hint="eastAsia" w:ascii="宋体" w:hAnsi="宋体" w:eastAsia="宋体" w:cs="Times New Roman"/>
          <w:szCs w:val="21"/>
        </w:rPr>
        <w:t>第一章   总则</w:t>
      </w:r>
    </w:p>
    <w:p>
      <w:pPr>
        <w:ind w:left="630" w:leftChars="300" w:firstLine="630" w:firstLineChars="300"/>
        <w:rPr>
          <w:rFonts w:ascii="宋体" w:hAnsi="宋体" w:eastAsia="宋体" w:cs="Times New Roman"/>
          <w:szCs w:val="21"/>
        </w:rPr>
      </w:pPr>
      <w:r>
        <w:rPr>
          <w:rFonts w:hint="eastAsia" w:ascii="宋体" w:hAnsi="宋体" w:eastAsia="宋体" w:cs="Times New Roman"/>
          <w:szCs w:val="21"/>
        </w:rPr>
        <w:t>第二章   招标文件</w:t>
      </w:r>
    </w:p>
    <w:p>
      <w:pPr>
        <w:ind w:left="630" w:leftChars="300" w:firstLine="630" w:firstLineChars="300"/>
        <w:rPr>
          <w:rFonts w:ascii="宋体" w:hAnsi="宋体" w:eastAsia="宋体" w:cs="Times New Roman"/>
          <w:szCs w:val="21"/>
        </w:rPr>
      </w:pPr>
      <w:r>
        <w:rPr>
          <w:rFonts w:hint="eastAsia" w:ascii="宋体" w:hAnsi="宋体" w:eastAsia="宋体" w:cs="Times New Roman"/>
          <w:szCs w:val="21"/>
        </w:rPr>
        <w:t>第三章   投标文件的编制</w:t>
      </w:r>
    </w:p>
    <w:p>
      <w:pPr>
        <w:ind w:left="630" w:leftChars="300" w:firstLine="630" w:firstLineChars="300"/>
        <w:rPr>
          <w:rFonts w:ascii="宋体" w:hAnsi="宋体" w:eastAsia="宋体" w:cs="Times New Roman"/>
          <w:szCs w:val="21"/>
        </w:rPr>
      </w:pPr>
      <w:r>
        <w:rPr>
          <w:rFonts w:hint="eastAsia" w:ascii="宋体" w:hAnsi="宋体" w:eastAsia="宋体" w:cs="Times New Roman"/>
          <w:szCs w:val="21"/>
        </w:rPr>
        <w:t>第四章   投标文件的递交</w:t>
      </w:r>
    </w:p>
    <w:p>
      <w:pPr>
        <w:ind w:left="630" w:leftChars="300" w:firstLine="630" w:firstLineChars="300"/>
        <w:rPr>
          <w:rFonts w:ascii="宋体" w:hAnsi="宋体" w:eastAsia="宋体" w:cs="Times New Roman"/>
          <w:szCs w:val="21"/>
        </w:rPr>
      </w:pPr>
      <w:r>
        <w:rPr>
          <w:rFonts w:hint="eastAsia" w:ascii="宋体" w:hAnsi="宋体" w:eastAsia="宋体" w:cs="Times New Roman"/>
          <w:szCs w:val="21"/>
        </w:rPr>
        <w:t>第五章   开标</w:t>
      </w:r>
    </w:p>
    <w:p>
      <w:pPr>
        <w:ind w:left="630" w:leftChars="300" w:firstLine="630" w:firstLineChars="300"/>
        <w:rPr>
          <w:rFonts w:ascii="宋体" w:hAnsi="宋体" w:eastAsia="宋体" w:cs="Times New Roman"/>
          <w:szCs w:val="21"/>
        </w:rPr>
      </w:pPr>
      <w:r>
        <w:rPr>
          <w:rFonts w:hint="eastAsia" w:ascii="宋体" w:hAnsi="宋体" w:eastAsia="宋体" w:cs="Times New Roman"/>
          <w:szCs w:val="21"/>
        </w:rPr>
        <w:t>第六章   评标要求</w:t>
      </w:r>
    </w:p>
    <w:p>
      <w:pPr>
        <w:ind w:left="630" w:leftChars="300" w:firstLine="630" w:firstLineChars="300"/>
        <w:rPr>
          <w:rFonts w:ascii="宋体" w:hAnsi="宋体" w:eastAsia="宋体" w:cs="Times New Roman"/>
          <w:szCs w:val="21"/>
        </w:rPr>
      </w:pPr>
      <w:r>
        <w:rPr>
          <w:rFonts w:hint="eastAsia" w:ascii="宋体" w:hAnsi="宋体" w:eastAsia="宋体" w:cs="Times New Roman"/>
          <w:szCs w:val="21"/>
        </w:rPr>
        <w:t>第七章   评标程序及评标方法</w:t>
      </w:r>
    </w:p>
    <w:p>
      <w:pPr>
        <w:ind w:left="630" w:leftChars="300" w:firstLine="630" w:firstLineChars="300"/>
        <w:rPr>
          <w:rFonts w:ascii="宋体" w:hAnsi="宋体" w:eastAsia="宋体" w:cs="Times New Roman"/>
          <w:szCs w:val="21"/>
        </w:rPr>
      </w:pPr>
      <w:r>
        <w:rPr>
          <w:rFonts w:hint="eastAsia" w:ascii="宋体" w:hAnsi="宋体" w:eastAsia="宋体" w:cs="Times New Roman"/>
          <w:szCs w:val="21"/>
        </w:rPr>
        <w:t>第八章   定标及公示</w:t>
      </w:r>
    </w:p>
    <w:p>
      <w:pPr>
        <w:ind w:left="630" w:leftChars="300" w:firstLine="630" w:firstLineChars="300"/>
        <w:rPr>
          <w:rFonts w:ascii="宋体" w:hAnsi="宋体" w:eastAsia="宋体" w:cs="Times New Roman"/>
          <w:szCs w:val="21"/>
        </w:rPr>
      </w:pPr>
      <w:r>
        <w:rPr>
          <w:rFonts w:hint="eastAsia" w:ascii="宋体" w:hAnsi="宋体" w:eastAsia="宋体" w:cs="Times New Roman"/>
          <w:szCs w:val="21"/>
        </w:rPr>
        <w:t>第九章   公开招标失败的后续处理</w:t>
      </w:r>
    </w:p>
    <w:p>
      <w:pPr>
        <w:ind w:left="630" w:leftChars="300" w:firstLine="630" w:firstLineChars="300"/>
        <w:rPr>
          <w:rFonts w:ascii="宋体" w:hAnsi="宋体" w:eastAsia="宋体" w:cs="Times New Roman"/>
          <w:szCs w:val="21"/>
        </w:rPr>
      </w:pPr>
      <w:r>
        <w:rPr>
          <w:rFonts w:hint="eastAsia" w:ascii="宋体" w:hAnsi="宋体" w:eastAsia="宋体" w:cs="Times New Roman"/>
          <w:szCs w:val="21"/>
        </w:rPr>
        <w:t>第十章   合同的授予与备案</w:t>
      </w:r>
    </w:p>
    <w:p>
      <w:pPr>
        <w:ind w:left="630" w:leftChars="300" w:firstLine="630" w:firstLineChars="300"/>
        <w:rPr>
          <w:rFonts w:ascii="宋体" w:hAnsi="宋体" w:eastAsia="宋体" w:cs="Times New Roman"/>
          <w:szCs w:val="21"/>
        </w:rPr>
      </w:pPr>
      <w:r>
        <w:rPr>
          <w:rFonts w:hint="eastAsia" w:ascii="宋体" w:hAnsi="宋体" w:eastAsia="宋体" w:cs="Times New Roman"/>
          <w:szCs w:val="21"/>
        </w:rPr>
        <w:t>第十一章 质疑处理</w:t>
      </w:r>
    </w:p>
    <w:p>
      <w:pPr>
        <w:ind w:left="630" w:leftChars="300" w:firstLine="630" w:firstLineChars="300"/>
        <w:rPr>
          <w:rFonts w:ascii="宋体" w:hAnsi="宋体" w:eastAsia="宋体" w:cs="Times New Roman"/>
          <w:szCs w:val="21"/>
        </w:rPr>
      </w:pPr>
      <w:r>
        <w:rPr>
          <w:rFonts w:hint="eastAsia" w:ascii="宋体" w:hAnsi="宋体" w:eastAsia="宋体" w:cs="Times New Roman"/>
          <w:szCs w:val="21"/>
        </w:rPr>
        <w:t>第十二章 条款解释</w:t>
      </w:r>
    </w:p>
    <w:p>
      <w:pPr>
        <w:rPr>
          <w:rFonts w:ascii="Times New Roman" w:hAnsi="Times New Roman" w:eastAsia="宋体" w:cs="Times New Roman"/>
          <w:sz w:val="24"/>
          <w:szCs w:val="24"/>
        </w:rPr>
      </w:pPr>
    </w:p>
    <w:p>
      <w:pPr>
        <w:keepNext/>
        <w:keepLines/>
        <w:adjustRightInd w:val="0"/>
        <w:spacing w:before="260" w:after="260"/>
        <w:jc w:val="center"/>
        <w:textAlignment w:val="baseline"/>
        <w:outlineLvl w:val="1"/>
        <w:rPr>
          <w:rFonts w:ascii="宋体" w:hAnsi="宋体" w:eastAsia="宋体" w:cs="Times New Roman"/>
          <w:b/>
          <w:bCs/>
          <w:kern w:val="0"/>
          <w:sz w:val="28"/>
          <w:szCs w:val="28"/>
        </w:rPr>
      </w:pPr>
      <w:r>
        <w:rPr>
          <w:rFonts w:ascii="宋体" w:hAnsi="宋体" w:eastAsia="宋体" w:cs="Times New Roman"/>
          <w:b/>
          <w:bCs/>
          <w:kern w:val="0"/>
          <w:sz w:val="24"/>
          <w:szCs w:val="20"/>
        </w:rPr>
        <w:br w:type="page"/>
      </w:r>
      <w:r>
        <w:rPr>
          <w:rFonts w:hint="eastAsia" w:ascii="宋体" w:hAnsi="宋体" w:eastAsia="宋体" w:cs="Times New Roman"/>
          <w:b/>
          <w:bCs/>
          <w:kern w:val="0"/>
          <w:sz w:val="24"/>
          <w:szCs w:val="20"/>
        </w:rPr>
        <w:t>第一册  专用条款</w:t>
      </w:r>
    </w:p>
    <w:p>
      <w:pPr>
        <w:keepNext/>
        <w:keepLines/>
        <w:numPr>
          <w:ilvl w:val="0"/>
          <w:numId w:val="11"/>
        </w:numPr>
        <w:adjustRightInd w:val="0"/>
        <w:spacing w:before="260" w:after="260"/>
        <w:jc w:val="center"/>
        <w:textAlignment w:val="baseline"/>
        <w:outlineLvl w:val="1"/>
        <w:rPr>
          <w:rFonts w:ascii="宋体" w:hAnsi="宋体" w:eastAsia="宋体" w:cs="Times New Roman"/>
          <w:b/>
          <w:bCs/>
          <w:kern w:val="0"/>
          <w:sz w:val="24"/>
          <w:szCs w:val="20"/>
        </w:rPr>
      </w:pPr>
      <w:r>
        <w:rPr>
          <w:rFonts w:hint="eastAsia" w:ascii="宋体" w:hAnsi="宋体" w:eastAsia="宋体" w:cs="Times New Roman"/>
          <w:b/>
          <w:bCs/>
          <w:kern w:val="0"/>
          <w:sz w:val="24"/>
          <w:szCs w:val="20"/>
        </w:rPr>
        <w:t xml:space="preserve"> 招标公告</w:t>
      </w:r>
    </w:p>
    <w:p>
      <w:pPr>
        <w:ind w:firstLine="420" w:firstLineChars="200"/>
        <w:jc w:val="left"/>
        <w:rPr>
          <w:rFonts w:ascii="Times New Roman" w:hAnsi="Times New Roman" w:eastAsia="宋体" w:cs="Times New Roman"/>
          <w:kern w:val="0"/>
          <w:szCs w:val="21"/>
          <w:u w:val="single"/>
        </w:rPr>
      </w:pPr>
      <w:r>
        <w:rPr>
          <w:rFonts w:hint="eastAsia" w:ascii="Times New Roman" w:hAnsi="Times New Roman" w:eastAsia="宋体" w:cs="Times New Roman"/>
          <w:kern w:val="0"/>
          <w:szCs w:val="21"/>
        </w:rPr>
        <w:t>根据《深圳经济特区政府采购条例》和《深圳大学总医院采购管理办法》的有关规定</w:t>
      </w:r>
      <w:r>
        <w:rPr>
          <w:rFonts w:ascii="Times New Roman" w:hAnsi="Times New Roman" w:eastAsia="宋体" w:cs="Times New Roman"/>
          <w:kern w:val="0"/>
          <w:szCs w:val="21"/>
        </w:rPr>
        <w:t>，</w:t>
      </w:r>
      <w:r>
        <w:rPr>
          <w:rFonts w:hint="eastAsia" w:ascii="Times New Roman" w:hAnsi="Times New Roman" w:eastAsia="宋体" w:cs="Times New Roman"/>
          <w:kern w:val="0"/>
          <w:szCs w:val="21"/>
        </w:rPr>
        <w:t>深圳大学总医院招投标管理办公室</w:t>
      </w:r>
      <w:r>
        <w:rPr>
          <w:rFonts w:ascii="Times New Roman" w:hAnsi="Times New Roman" w:eastAsia="宋体" w:cs="Times New Roman"/>
          <w:kern w:val="0"/>
          <w:szCs w:val="21"/>
        </w:rPr>
        <w:t>就</w:t>
      </w:r>
      <w:r>
        <w:rPr>
          <w:rFonts w:hint="eastAsia" w:ascii="宋体" w:hAnsi="宋体" w:eastAsia="宋体" w:cs="宋体"/>
          <w:szCs w:val="21"/>
        </w:rPr>
        <w:t>深圳大学总医院购买劳务派遣用工服务</w:t>
      </w:r>
      <w:r>
        <w:rPr>
          <w:rFonts w:ascii="Times New Roman" w:hAnsi="Times New Roman" w:eastAsia="宋体" w:cs="Times New Roman"/>
          <w:szCs w:val="24"/>
        </w:rPr>
        <w:t>项目</w:t>
      </w:r>
      <w:r>
        <w:rPr>
          <w:rFonts w:ascii="Times New Roman" w:hAnsi="Times New Roman" w:eastAsia="宋体" w:cs="Times New Roman"/>
          <w:kern w:val="0"/>
          <w:szCs w:val="21"/>
        </w:rPr>
        <w:t xml:space="preserve">，进行公开招标，欢迎符合资格要求的供应商参加投标。 </w:t>
      </w:r>
    </w:p>
    <w:p>
      <w:pPr>
        <w:ind w:firstLine="420" w:firstLineChars="200"/>
        <w:jc w:val="left"/>
        <w:rPr>
          <w:rFonts w:ascii="Times New Roman" w:hAnsi="Times New Roman" w:eastAsia="宋体" w:cs="Times New Roman"/>
          <w:kern w:val="0"/>
          <w:szCs w:val="21"/>
        </w:rPr>
      </w:pPr>
    </w:p>
    <w:p>
      <w:pPr>
        <w:jc w:val="left"/>
        <w:rPr>
          <w:rFonts w:ascii="Times New Roman" w:hAnsi="Times New Roman" w:eastAsia="宋体" w:cs="Times New Roman"/>
          <w:kern w:val="0"/>
          <w:szCs w:val="21"/>
        </w:rPr>
      </w:pPr>
      <w:r>
        <w:rPr>
          <w:rFonts w:hint="eastAsia" w:ascii="Times New Roman" w:hAnsi="Times New Roman" w:eastAsia="宋体" w:cs="Times New Roman"/>
          <w:b/>
          <w:bCs/>
          <w:kern w:val="0"/>
          <w:szCs w:val="21"/>
        </w:rPr>
        <w:t>一、</w:t>
      </w:r>
      <w:r>
        <w:rPr>
          <w:rFonts w:ascii="Times New Roman" w:hAnsi="Times New Roman" w:eastAsia="宋体" w:cs="Times New Roman"/>
          <w:b/>
          <w:bCs/>
          <w:kern w:val="0"/>
          <w:szCs w:val="21"/>
        </w:rPr>
        <w:t>招标项目编号：</w:t>
      </w:r>
      <w:r>
        <w:rPr>
          <w:rFonts w:hint="eastAsia" w:ascii="Times New Roman" w:hAnsi="Times New Roman" w:eastAsia="宋体" w:cs="Times New Roman"/>
          <w:color w:val="FF0000"/>
          <w:szCs w:val="24"/>
        </w:rPr>
        <w:t>SUGHCG2024010FW</w:t>
      </w:r>
    </w:p>
    <w:p>
      <w:pPr>
        <w:jc w:val="left"/>
        <w:rPr>
          <w:rFonts w:ascii="Times New Roman" w:hAnsi="Times New Roman" w:eastAsia="宋体" w:cs="Times New Roman"/>
          <w:kern w:val="0"/>
          <w:szCs w:val="21"/>
          <w:u w:val="single"/>
        </w:rPr>
      </w:pPr>
      <w:r>
        <w:rPr>
          <w:rFonts w:hint="eastAsia" w:ascii="Times New Roman" w:hAnsi="Times New Roman" w:eastAsia="宋体" w:cs="Times New Roman"/>
          <w:b/>
          <w:bCs/>
          <w:kern w:val="0"/>
          <w:szCs w:val="21"/>
        </w:rPr>
        <w:t>二、</w:t>
      </w:r>
      <w:r>
        <w:rPr>
          <w:rFonts w:ascii="Times New Roman" w:hAnsi="Times New Roman" w:eastAsia="宋体" w:cs="Times New Roman"/>
          <w:b/>
          <w:bCs/>
          <w:kern w:val="0"/>
          <w:szCs w:val="21"/>
        </w:rPr>
        <w:t>招标项目名称：</w:t>
      </w:r>
      <w:r>
        <w:rPr>
          <w:rFonts w:hint="eastAsia" w:ascii="宋体" w:hAnsi="宋体" w:eastAsia="宋体" w:cs="宋体"/>
          <w:szCs w:val="21"/>
        </w:rPr>
        <w:t>深圳大学总医院购买劳务派遣用工服务</w:t>
      </w:r>
    </w:p>
    <w:p>
      <w:pPr>
        <w:jc w:val="left"/>
        <w:rPr>
          <w:rFonts w:ascii="Times New Roman" w:hAnsi="Times New Roman" w:eastAsia="宋体" w:cs="Times New Roman"/>
          <w:kern w:val="0"/>
          <w:szCs w:val="21"/>
        </w:rPr>
      </w:pPr>
      <w:r>
        <w:rPr>
          <w:rFonts w:hint="eastAsia" w:ascii="Times New Roman" w:hAnsi="Times New Roman" w:eastAsia="宋体" w:cs="Times New Roman"/>
          <w:b/>
          <w:bCs/>
          <w:kern w:val="0"/>
          <w:szCs w:val="21"/>
        </w:rPr>
        <w:t>三、</w:t>
      </w:r>
      <w:r>
        <w:rPr>
          <w:rFonts w:ascii="Times New Roman" w:hAnsi="Times New Roman" w:eastAsia="宋体" w:cs="Times New Roman"/>
          <w:b/>
          <w:bCs/>
          <w:kern w:val="0"/>
          <w:szCs w:val="21"/>
        </w:rPr>
        <w:t>项目概况：</w:t>
      </w:r>
      <w:r>
        <w:rPr>
          <w:rFonts w:ascii="Times New Roman" w:hAnsi="Times New Roman" w:eastAsia="宋体" w:cs="Times New Roman"/>
          <w:szCs w:val="24"/>
        </w:rPr>
        <w:t>详见招标文件</w:t>
      </w:r>
      <w:r>
        <w:rPr>
          <w:rFonts w:hint="eastAsia" w:ascii="Times New Roman" w:hAnsi="Times New Roman" w:eastAsia="宋体" w:cs="Times New Roman"/>
          <w:szCs w:val="24"/>
        </w:rPr>
        <w:t>。</w:t>
      </w:r>
    </w:p>
    <w:p>
      <w:pPr>
        <w:jc w:val="left"/>
        <w:rPr>
          <w:rFonts w:ascii="Times New Roman" w:hAnsi="Times New Roman" w:eastAsia="宋体" w:cs="Times New Roman"/>
          <w:b/>
          <w:bCs/>
          <w:kern w:val="0"/>
          <w:szCs w:val="21"/>
        </w:rPr>
      </w:pPr>
      <w:r>
        <w:rPr>
          <w:rFonts w:hint="eastAsia" w:ascii="Times New Roman" w:hAnsi="Times New Roman" w:eastAsia="宋体" w:cs="Times New Roman"/>
          <w:b/>
          <w:bCs/>
          <w:kern w:val="0"/>
          <w:szCs w:val="21"/>
        </w:rPr>
        <w:t>四、</w:t>
      </w:r>
      <w:r>
        <w:rPr>
          <w:rFonts w:ascii="Times New Roman" w:hAnsi="Times New Roman" w:eastAsia="宋体" w:cs="Times New Roman"/>
          <w:b/>
          <w:bCs/>
          <w:kern w:val="0"/>
          <w:szCs w:val="21"/>
        </w:rPr>
        <w:t>投标人</w:t>
      </w:r>
      <w:r>
        <w:rPr>
          <w:rFonts w:hint="eastAsia" w:ascii="Times New Roman" w:hAnsi="Times New Roman" w:eastAsia="宋体" w:cs="Times New Roman"/>
          <w:b/>
          <w:bCs/>
          <w:kern w:val="0"/>
          <w:szCs w:val="21"/>
        </w:rPr>
        <w:t>资格</w:t>
      </w:r>
      <w:r>
        <w:rPr>
          <w:rFonts w:ascii="Times New Roman" w:hAnsi="Times New Roman" w:eastAsia="宋体" w:cs="Times New Roman"/>
          <w:b/>
          <w:bCs/>
          <w:kern w:val="0"/>
          <w:szCs w:val="21"/>
        </w:rPr>
        <w:t>要求：</w:t>
      </w:r>
    </w:p>
    <w:p>
      <w:pPr>
        <w:pStyle w:val="48"/>
        <w:widowControl/>
        <w:numPr>
          <w:ilvl w:val="0"/>
          <w:numId w:val="12"/>
        </w:numPr>
        <w:spacing w:line="420" w:lineRule="atLeast"/>
        <w:ind w:firstLine="420"/>
        <w:rPr>
          <w:rFonts w:ascii="宋体" w:hAnsi="宋体" w:cs="宋体"/>
          <w:sz w:val="21"/>
          <w:szCs w:val="21"/>
        </w:rPr>
      </w:pPr>
      <w:r>
        <w:rPr>
          <w:rFonts w:hint="eastAsia" w:ascii="宋体" w:hAnsi="宋体" w:cs="宋体"/>
          <w:sz w:val="21"/>
          <w:szCs w:val="21"/>
        </w:rPr>
        <w:t>具有独立法人资格或具有独立承担民事责任的能力的其它组织（提供营业执照或事业单位法人证等法人证明扫描件，原件备查）。</w:t>
      </w:r>
    </w:p>
    <w:p>
      <w:pPr>
        <w:pStyle w:val="48"/>
        <w:widowControl/>
        <w:numPr>
          <w:ilvl w:val="0"/>
          <w:numId w:val="12"/>
        </w:numPr>
        <w:spacing w:line="420" w:lineRule="atLeast"/>
        <w:ind w:firstLine="420"/>
        <w:rPr>
          <w:rFonts w:ascii="宋体" w:hAnsi="宋体" w:cs="宋体"/>
          <w:sz w:val="21"/>
          <w:szCs w:val="21"/>
          <w:highlight w:val="yellow"/>
        </w:rPr>
      </w:pPr>
      <w:r>
        <w:rPr>
          <w:rFonts w:hint="eastAsia" w:ascii="宋体" w:hAnsi="宋体" w:cs="宋体"/>
          <w:sz w:val="21"/>
          <w:szCs w:val="21"/>
          <w:highlight w:val="yellow"/>
        </w:rPr>
        <w:t>具有人力资源服务许可证或具有人力资源部服务机构备案凭证。</w:t>
      </w:r>
    </w:p>
    <w:p>
      <w:pPr>
        <w:pStyle w:val="48"/>
        <w:widowControl/>
        <w:spacing w:line="420" w:lineRule="atLeast"/>
        <w:ind w:firstLine="420"/>
        <w:rPr>
          <w:rFonts w:ascii="宋体" w:hAnsi="宋体" w:cs="宋体"/>
          <w:sz w:val="21"/>
          <w:szCs w:val="21"/>
        </w:rPr>
      </w:pPr>
      <w:r>
        <w:rPr>
          <w:rFonts w:hint="eastAsia" w:ascii="宋体" w:hAnsi="宋体" w:cs="宋体"/>
          <w:sz w:val="21"/>
          <w:szCs w:val="21"/>
        </w:rPr>
        <w:t>3. 参与本项目投标前三年内，在经营活动中没有重大违法记录（由供应商在《投标及履约承诺函》中作出声明）。</w:t>
      </w:r>
    </w:p>
    <w:p>
      <w:pPr>
        <w:pStyle w:val="48"/>
        <w:widowControl/>
        <w:spacing w:line="420" w:lineRule="atLeast"/>
        <w:ind w:firstLine="420"/>
        <w:rPr>
          <w:rFonts w:ascii="宋体" w:hAnsi="宋体" w:cs="宋体"/>
          <w:sz w:val="21"/>
          <w:szCs w:val="21"/>
        </w:rPr>
      </w:pPr>
      <w:r>
        <w:rPr>
          <w:rFonts w:hint="eastAsia" w:ascii="宋体" w:hAnsi="宋体" w:cs="宋体"/>
          <w:sz w:val="21"/>
          <w:szCs w:val="21"/>
        </w:rPr>
        <w:t>4. 参与本项目采购活动时不存在被有关部门禁止参与政府采购活动且在有效期内的情况（由供应商在《投标及履约承诺函》中作出声明）。</w:t>
      </w:r>
    </w:p>
    <w:p>
      <w:pPr>
        <w:pStyle w:val="48"/>
        <w:widowControl/>
        <w:spacing w:line="420" w:lineRule="atLeast"/>
        <w:ind w:firstLine="420"/>
        <w:rPr>
          <w:rFonts w:ascii="宋体" w:hAnsi="宋体" w:cs="宋体"/>
          <w:sz w:val="21"/>
          <w:szCs w:val="21"/>
        </w:rPr>
      </w:pPr>
      <w:r>
        <w:rPr>
          <w:rFonts w:hint="eastAsia" w:ascii="宋体" w:hAnsi="宋体" w:cs="宋体"/>
          <w:sz w:val="21"/>
          <w:szCs w:val="21"/>
        </w:rPr>
        <w:t>5. 参与本采购项目投标的供应商未被列入失信被执行人、重大税收违法案件当事人名单、政府采购严重违法失信行为记录名单（由供应商在《投标及履约承诺函》中作出声明）。</w:t>
      </w:r>
    </w:p>
    <w:p>
      <w:pPr>
        <w:pStyle w:val="48"/>
        <w:widowControl/>
        <w:spacing w:line="420" w:lineRule="atLeast"/>
        <w:ind w:firstLine="420"/>
        <w:rPr>
          <w:rFonts w:ascii="宋体" w:hAnsi="宋体" w:cs="宋体"/>
          <w:sz w:val="21"/>
          <w:szCs w:val="21"/>
        </w:rPr>
      </w:pPr>
      <w:r>
        <w:rPr>
          <w:rFonts w:hint="eastAsia" w:ascii="宋体" w:hAnsi="宋体" w:cs="宋体"/>
          <w:sz w:val="21"/>
          <w:szCs w:val="21"/>
        </w:rPr>
        <w:t>注：“信用中国”、“中国政府采购网”以及“深圳市政府采购监管网”为供应商信用信息的查询渠道，相关信息以中标通知书发出前的查询结果为准。</w:t>
      </w:r>
    </w:p>
    <w:p>
      <w:pPr>
        <w:pStyle w:val="48"/>
        <w:widowControl/>
        <w:spacing w:line="420" w:lineRule="atLeast"/>
        <w:ind w:firstLine="420"/>
        <w:rPr>
          <w:rFonts w:ascii="宋体" w:hAnsi="宋体" w:cs="宋体"/>
          <w:sz w:val="21"/>
          <w:szCs w:val="21"/>
        </w:rPr>
      </w:pPr>
      <w:r>
        <w:rPr>
          <w:rFonts w:hint="eastAsia" w:ascii="宋体" w:hAnsi="宋体" w:cs="宋体"/>
          <w:sz w:val="21"/>
          <w:szCs w:val="21"/>
        </w:rPr>
        <w:t>6. 本项目不接受投标人选用进口产品参与投标。</w:t>
      </w:r>
    </w:p>
    <w:p>
      <w:pPr>
        <w:pStyle w:val="48"/>
        <w:widowControl/>
        <w:spacing w:line="420" w:lineRule="atLeast"/>
        <w:ind w:firstLine="420"/>
        <w:rPr>
          <w:rFonts w:ascii="宋体" w:hAnsi="宋体" w:cs="宋体"/>
          <w:sz w:val="21"/>
          <w:szCs w:val="21"/>
        </w:rPr>
      </w:pPr>
      <w:r>
        <w:rPr>
          <w:rFonts w:hint="eastAsia" w:ascii="宋体" w:hAnsi="宋体" w:cs="宋体"/>
          <w:sz w:val="21"/>
          <w:szCs w:val="21"/>
        </w:rPr>
        <w:t>7. 本项目不接受联合体投标。</w:t>
      </w:r>
    </w:p>
    <w:p>
      <w:pPr>
        <w:adjustRightInd w:val="0"/>
        <w:snapToGrid w:val="0"/>
        <w:spacing w:line="360" w:lineRule="auto"/>
        <w:jc w:val="left"/>
        <w:rPr>
          <w:kern w:val="0"/>
          <w:szCs w:val="21"/>
        </w:rPr>
      </w:pPr>
    </w:p>
    <w:p>
      <w:pPr>
        <w:rPr>
          <w:rFonts w:ascii="微软雅黑" w:hAnsi="微软雅黑" w:cs="微软雅黑"/>
          <w:color w:val="333333"/>
          <w:szCs w:val="21"/>
        </w:rPr>
      </w:pPr>
      <w:r>
        <w:rPr>
          <w:rFonts w:hint="eastAsia" w:ascii="Times New Roman" w:hAnsi="Times New Roman" w:eastAsia="宋体" w:cs="Times New Roman"/>
          <w:b/>
          <w:bCs/>
          <w:kern w:val="0"/>
          <w:szCs w:val="21"/>
        </w:rPr>
        <w:t>五、</w:t>
      </w:r>
      <w:r>
        <w:rPr>
          <w:rFonts w:ascii="Times New Roman" w:hAnsi="Times New Roman" w:eastAsia="宋体" w:cs="Times New Roman"/>
          <w:b/>
          <w:bCs/>
          <w:kern w:val="0"/>
          <w:szCs w:val="21"/>
        </w:rPr>
        <w:t>采购预算或最高限价</w:t>
      </w:r>
      <w:r>
        <w:rPr>
          <w:b/>
          <w:bCs/>
          <w:kern w:val="0"/>
          <w:szCs w:val="21"/>
        </w:rPr>
        <w:t>：</w:t>
      </w:r>
      <w:r>
        <w:rPr>
          <w:rFonts w:hint="eastAsia" w:ascii="宋体" w:hAnsi="宋体"/>
          <w:color w:val="FF0000"/>
          <w:lang w:bidi="ar"/>
        </w:rPr>
        <w:t>管理服务费单价上限：200元/人/月（全年管理服务费用支付上限为80,000.00元/年）</w:t>
      </w:r>
    </w:p>
    <w:p>
      <w:pPr>
        <w:jc w:val="left"/>
        <w:rPr>
          <w:rFonts w:ascii="Times New Roman" w:hAnsi="Times New Roman" w:eastAsia="宋体" w:cs="Times New Roman"/>
          <w:color w:val="222222"/>
          <w:szCs w:val="24"/>
        </w:rPr>
      </w:pPr>
      <w:r>
        <w:rPr>
          <w:rFonts w:hint="eastAsia" w:ascii="Times New Roman" w:hAnsi="Times New Roman" w:eastAsia="宋体" w:cs="Times New Roman"/>
          <w:b/>
          <w:bCs/>
          <w:color w:val="222222"/>
          <w:szCs w:val="24"/>
        </w:rPr>
        <w:t xml:space="preserve">六、标书获得方法: </w:t>
      </w:r>
      <w:r>
        <w:rPr>
          <w:rFonts w:hint="eastAsia" w:ascii="Times New Roman" w:hAnsi="Times New Roman" w:eastAsia="宋体" w:cs="Times New Roman"/>
          <w:color w:val="222222"/>
          <w:szCs w:val="24"/>
        </w:rPr>
        <w:t>任何有兴趣的合格投标人可于本招标公告发布之日起，在深圳大学总医院官网“招标公告”</w:t>
      </w:r>
      <w:r>
        <w:rPr>
          <w:rFonts w:hint="eastAsia"/>
        </w:rPr>
        <w:fldChar w:fldCharType="begin"/>
      </w:r>
      <w:r>
        <w:instrText xml:space="preserve"> HYPERLINK "http://www.sugh.net/Html/News/Columns/4/Index.html" </w:instrText>
      </w:r>
      <w:r>
        <w:rPr>
          <w:rFonts w:hint="eastAsia"/>
        </w:rPr>
        <w:fldChar w:fldCharType="separate"/>
      </w:r>
      <w:r>
        <w:rPr>
          <w:rStyle w:val="61"/>
          <w:rFonts w:hint="eastAsia" w:ascii="Times New Roman" w:hAnsi="Times New Roman" w:eastAsia="宋体" w:cs="Times New Roman"/>
          <w:szCs w:val="24"/>
        </w:rPr>
        <w:t>http://www.sugh.net/Html/News/Columns/4/Index.html</w:t>
      </w:r>
      <w:r>
        <w:rPr>
          <w:rStyle w:val="61"/>
          <w:rFonts w:hint="eastAsia" w:ascii="Times New Roman" w:hAnsi="Times New Roman" w:eastAsia="宋体" w:cs="Times New Roman"/>
          <w:szCs w:val="24"/>
        </w:rPr>
        <w:fldChar w:fldCharType="end"/>
      </w:r>
      <w:r>
        <w:rPr>
          <w:rFonts w:hint="eastAsia" w:ascii="Times New Roman" w:hAnsi="Times New Roman" w:eastAsia="宋体" w:cs="Times New Roman"/>
          <w:color w:val="222222"/>
          <w:szCs w:val="24"/>
        </w:rPr>
        <w:t>对应本项目的招标公告页中下载项目的</w:t>
      </w:r>
      <w:r>
        <w:rPr>
          <w:rFonts w:hint="eastAsia" w:ascii="Times New Roman" w:hAnsi="Times New Roman" w:eastAsia="宋体" w:cs="Times New Roman"/>
          <w:b/>
          <w:bCs/>
          <w:color w:val="222222"/>
          <w:szCs w:val="24"/>
        </w:rPr>
        <w:t>电子标书</w:t>
      </w:r>
      <w:r>
        <w:rPr>
          <w:rFonts w:hint="eastAsia" w:ascii="Times New Roman" w:hAnsi="Times New Roman" w:eastAsia="宋体" w:cs="Times New Roman"/>
          <w:color w:val="222222"/>
          <w:szCs w:val="24"/>
        </w:rPr>
        <w:t>。</w:t>
      </w:r>
    </w:p>
    <w:p>
      <w:pPr>
        <w:jc w:val="left"/>
        <w:rPr>
          <w:rFonts w:ascii="Times New Roman" w:hAnsi="Times New Roman" w:eastAsia="宋体" w:cs="Times New Roman"/>
          <w:color w:val="222222"/>
          <w:szCs w:val="24"/>
        </w:rPr>
      </w:pPr>
    </w:p>
    <w:p>
      <w:pPr>
        <w:jc w:val="left"/>
        <w:rPr>
          <w:rFonts w:ascii="Times New Roman" w:hAnsi="Times New Roman" w:eastAsia="宋体" w:cs="Times New Roman"/>
          <w:b/>
          <w:bCs/>
          <w:color w:val="222222"/>
        </w:rPr>
      </w:pPr>
      <w:r>
        <w:rPr>
          <w:rFonts w:hint="eastAsia" w:ascii="Times New Roman" w:hAnsi="Times New Roman" w:eastAsia="宋体" w:cs="Times New Roman"/>
          <w:b/>
          <w:bCs/>
          <w:color w:val="222222"/>
        </w:rPr>
        <w:t>七、</w:t>
      </w:r>
      <w:r>
        <w:rPr>
          <w:rFonts w:ascii="Times New Roman" w:hAnsi="Times New Roman" w:eastAsia="宋体" w:cs="Times New Roman"/>
          <w:b/>
          <w:bCs/>
          <w:color w:val="222222"/>
        </w:rPr>
        <w:t>投标报名</w:t>
      </w:r>
      <w:r>
        <w:rPr>
          <w:rFonts w:hint="eastAsia" w:ascii="Times New Roman" w:hAnsi="Times New Roman" w:eastAsia="宋体" w:cs="Times New Roman"/>
          <w:b/>
          <w:bCs/>
          <w:color w:val="222222"/>
        </w:rPr>
        <w:t>方法</w:t>
      </w:r>
      <w:r>
        <w:rPr>
          <w:rFonts w:ascii="Times New Roman" w:hAnsi="Times New Roman" w:eastAsia="宋体" w:cs="Times New Roman"/>
          <w:b/>
          <w:bCs/>
          <w:color w:val="222222"/>
        </w:rPr>
        <w:t>：</w:t>
      </w:r>
    </w:p>
    <w:p>
      <w:pPr>
        <w:jc w:val="left"/>
        <w:rPr>
          <w:rFonts w:ascii="Times New Roman" w:hAnsi="Times New Roman" w:eastAsia="宋体" w:cs="Times New Roman"/>
          <w:color w:val="222222"/>
          <w:szCs w:val="24"/>
        </w:rPr>
      </w:pPr>
      <w:r>
        <w:rPr>
          <w:rFonts w:ascii="Times New Roman" w:hAnsi="Times New Roman" w:eastAsia="宋体" w:cs="Times New Roman"/>
          <w:color w:val="222222"/>
          <w:szCs w:val="24"/>
        </w:rPr>
        <w:t>投标人报名</w:t>
      </w:r>
      <w:r>
        <w:rPr>
          <w:rFonts w:hint="eastAsia" w:ascii="Times New Roman" w:hAnsi="Times New Roman" w:eastAsia="宋体" w:cs="Times New Roman"/>
          <w:color w:val="222222"/>
          <w:szCs w:val="24"/>
        </w:rPr>
        <w:t>须</w:t>
      </w:r>
      <w:r>
        <w:rPr>
          <w:rFonts w:hint="eastAsia" w:ascii="Times New Roman" w:hAnsi="Times New Roman" w:eastAsia="宋体" w:cs="Times New Roman"/>
          <w:color w:val="FF0000"/>
          <w:szCs w:val="24"/>
        </w:rPr>
        <w:t>于2024年6月21日（星期五）14:00前</w:t>
      </w:r>
      <w:r>
        <w:rPr>
          <w:rFonts w:ascii="Times New Roman" w:hAnsi="Times New Roman" w:eastAsia="宋体" w:cs="Times New Roman"/>
          <w:color w:val="222222"/>
          <w:szCs w:val="24"/>
        </w:rPr>
        <w:t>将</w:t>
      </w:r>
      <w:r>
        <w:rPr>
          <w:rFonts w:hint="eastAsia" w:ascii="Times New Roman" w:hAnsi="Times New Roman" w:eastAsia="宋体" w:cs="Times New Roman"/>
          <w:color w:val="222222"/>
          <w:szCs w:val="24"/>
        </w:rPr>
        <w:t>以下报名资料发送至</w:t>
      </w:r>
      <w:r>
        <w:rPr>
          <w:rFonts w:ascii="Times New Roman" w:hAnsi="Times New Roman" w:eastAsia="宋体" w:cs="Times New Roman"/>
          <w:color w:val="222222"/>
          <w:szCs w:val="24"/>
        </w:rPr>
        <w:t>邮箱</w:t>
      </w:r>
      <w:r>
        <w:fldChar w:fldCharType="begin"/>
      </w:r>
      <w:r>
        <w:instrText xml:space="preserve"> HYPERLINK "sughztb@szu.edu.cn" </w:instrText>
      </w:r>
      <w:r>
        <w:fldChar w:fldCharType="separate"/>
      </w:r>
      <w:r>
        <w:rPr>
          <w:rStyle w:val="61"/>
          <w:rFonts w:ascii="Times New Roman" w:hAnsi="Times New Roman" w:eastAsia="宋体" w:cs="Times New Roman"/>
          <w:szCs w:val="24"/>
        </w:rPr>
        <w:t>sughztb@szu.edu.cn</w:t>
      </w:r>
      <w:r>
        <w:rPr>
          <w:rStyle w:val="61"/>
          <w:rFonts w:ascii="Times New Roman" w:hAnsi="Times New Roman" w:eastAsia="宋体" w:cs="Times New Roman"/>
          <w:szCs w:val="24"/>
        </w:rPr>
        <w:fldChar w:fldCharType="end"/>
      </w:r>
      <w:r>
        <w:rPr>
          <w:rFonts w:hint="eastAsia" w:ascii="Times New Roman" w:hAnsi="Times New Roman" w:eastAsia="宋体" w:cs="Times New Roman"/>
          <w:color w:val="222222"/>
          <w:szCs w:val="24"/>
        </w:rPr>
        <w:t>：</w:t>
      </w:r>
    </w:p>
    <w:p>
      <w:pPr>
        <w:numPr>
          <w:ilvl w:val="0"/>
          <w:numId w:val="13"/>
        </w:numPr>
        <w:ind w:firstLine="420" w:firstLineChars="200"/>
        <w:jc w:val="left"/>
        <w:rPr>
          <w:rFonts w:ascii="Times New Roman" w:hAnsi="Times New Roman" w:eastAsia="宋体" w:cs="Times New Roman"/>
          <w:color w:val="222222"/>
        </w:rPr>
      </w:pPr>
      <w:r>
        <w:rPr>
          <w:rFonts w:ascii="Times New Roman" w:hAnsi="Times New Roman" w:eastAsia="宋体" w:cs="Times New Roman"/>
          <w:color w:val="222222"/>
          <w:szCs w:val="24"/>
        </w:rPr>
        <w:t>公司营业执照</w:t>
      </w:r>
      <w:r>
        <w:rPr>
          <w:rFonts w:ascii="Times New Roman" w:hAnsi="Times New Roman" w:eastAsia="宋体" w:cs="Times New Roman"/>
          <w:color w:val="222222"/>
        </w:rPr>
        <w:t>复印件（加盖公章）</w:t>
      </w:r>
      <w:r>
        <w:rPr>
          <w:rFonts w:hint="eastAsia" w:ascii="Times New Roman" w:hAnsi="Times New Roman" w:eastAsia="宋体" w:cs="Times New Roman"/>
          <w:color w:val="222222"/>
        </w:rPr>
        <w:t>；</w:t>
      </w:r>
    </w:p>
    <w:p>
      <w:pPr>
        <w:numPr>
          <w:ilvl w:val="0"/>
          <w:numId w:val="13"/>
        </w:numPr>
        <w:ind w:firstLine="420" w:firstLineChars="200"/>
        <w:jc w:val="left"/>
        <w:rPr>
          <w:rFonts w:ascii="Times New Roman" w:hAnsi="Times New Roman" w:eastAsia="宋体" w:cs="Times New Roman"/>
          <w:color w:val="222222"/>
          <w:szCs w:val="24"/>
        </w:rPr>
      </w:pPr>
      <w:r>
        <w:rPr>
          <w:rFonts w:ascii="Times New Roman" w:hAnsi="Times New Roman" w:eastAsia="宋体" w:cs="Times New Roman"/>
          <w:color w:val="222222"/>
          <w:szCs w:val="24"/>
        </w:rPr>
        <w:t>投标报名表</w:t>
      </w:r>
      <w:r>
        <w:rPr>
          <w:rFonts w:hint="eastAsia" w:ascii="Times New Roman" w:hAnsi="Times New Roman" w:eastAsia="宋体" w:cs="Times New Roman"/>
          <w:color w:val="222222"/>
          <w:szCs w:val="24"/>
        </w:rPr>
        <w:t>（签名</w:t>
      </w:r>
      <w:r>
        <w:rPr>
          <w:rFonts w:ascii="Times New Roman" w:hAnsi="Times New Roman" w:eastAsia="宋体" w:cs="Times New Roman"/>
          <w:color w:val="222222"/>
          <w:szCs w:val="24"/>
        </w:rPr>
        <w:t>加盖公章</w:t>
      </w:r>
      <w:r>
        <w:rPr>
          <w:rFonts w:hint="eastAsia" w:ascii="Times New Roman" w:hAnsi="Times New Roman" w:eastAsia="宋体" w:cs="Times New Roman"/>
          <w:color w:val="222222"/>
          <w:szCs w:val="24"/>
        </w:rPr>
        <w:t>）</w:t>
      </w:r>
      <w:r>
        <w:rPr>
          <w:rFonts w:ascii="Times New Roman" w:hAnsi="Times New Roman" w:eastAsia="宋体" w:cs="Times New Roman"/>
          <w:color w:val="222222"/>
          <w:szCs w:val="24"/>
        </w:rPr>
        <w:t>。</w:t>
      </w:r>
    </w:p>
    <w:p>
      <w:pPr>
        <w:jc w:val="left"/>
        <w:rPr>
          <w:rFonts w:ascii="Times New Roman" w:hAnsi="Times New Roman" w:eastAsia="宋体" w:cs="Times New Roman"/>
          <w:color w:val="222222"/>
          <w:szCs w:val="24"/>
        </w:rPr>
      </w:pPr>
      <w:r>
        <w:rPr>
          <w:rFonts w:hint="eastAsia" w:ascii="Times New Roman" w:hAnsi="Times New Roman" w:eastAsia="宋体" w:cs="Times New Roman"/>
          <w:color w:val="222222"/>
          <w:szCs w:val="24"/>
        </w:rPr>
        <w:t>备注：</w:t>
      </w:r>
      <w:r>
        <w:rPr>
          <w:rFonts w:ascii="Times New Roman" w:hAnsi="Times New Roman" w:eastAsia="宋体" w:cs="Times New Roman"/>
          <w:color w:val="222222"/>
          <w:szCs w:val="24"/>
        </w:rPr>
        <w:t>投标报名表下载链接</w:t>
      </w:r>
      <w:r>
        <w:rPr>
          <w:rFonts w:hint="eastAsia" w:ascii="Times New Roman" w:hAnsi="Times New Roman" w:eastAsia="宋体" w:cs="Times New Roman"/>
          <w:color w:val="222222"/>
          <w:szCs w:val="24"/>
        </w:rPr>
        <w:t>：</w:t>
      </w:r>
      <w:r>
        <w:fldChar w:fldCharType="begin"/>
      </w:r>
      <w:r>
        <w:instrText xml:space="preserve"> HYPERLINK "https://sugh.szu.edu.cn/Html/News/Articles/3230.html" </w:instrText>
      </w:r>
      <w:r>
        <w:fldChar w:fldCharType="separate"/>
      </w:r>
      <w:r>
        <w:rPr>
          <w:rStyle w:val="61"/>
          <w:rFonts w:ascii="Times New Roman" w:hAnsi="Times New Roman" w:eastAsia="宋体" w:cs="Times New Roman"/>
          <w:szCs w:val="24"/>
        </w:rPr>
        <w:t>https://sugh.szu.edu.cn/Html/News/Articles/3230.html</w:t>
      </w:r>
      <w:r>
        <w:rPr>
          <w:rStyle w:val="61"/>
          <w:rFonts w:ascii="Times New Roman" w:hAnsi="Times New Roman" w:eastAsia="宋体" w:cs="Times New Roman"/>
          <w:szCs w:val="24"/>
        </w:rPr>
        <w:fldChar w:fldCharType="end"/>
      </w:r>
      <w:r>
        <w:rPr>
          <w:rFonts w:hint="eastAsia" w:ascii="Times New Roman" w:hAnsi="Times New Roman" w:eastAsia="宋体" w:cs="Times New Roman"/>
          <w:color w:val="222222"/>
          <w:szCs w:val="24"/>
        </w:rPr>
        <w:t>。</w:t>
      </w:r>
    </w:p>
    <w:p>
      <w:pPr>
        <w:jc w:val="left"/>
        <w:rPr>
          <w:rFonts w:ascii="Times New Roman" w:hAnsi="Times New Roman" w:eastAsia="宋体" w:cs="Times New Roman"/>
          <w:color w:val="222222"/>
          <w:szCs w:val="24"/>
        </w:rPr>
      </w:pPr>
      <w:r>
        <w:rPr>
          <w:rFonts w:hint="eastAsia" w:ascii="Times New Roman" w:hAnsi="Times New Roman" w:eastAsia="宋体" w:cs="Times New Roman"/>
          <w:color w:val="222222"/>
          <w:szCs w:val="24"/>
        </w:rPr>
        <w:t>为方便分类，邮件“主题”命名方式为《韩老师收+项目名称+投标公司名称+联系人+电话》</w:t>
      </w:r>
    </w:p>
    <w:p>
      <w:pPr>
        <w:jc w:val="left"/>
        <w:rPr>
          <w:rFonts w:ascii="Times New Roman" w:hAnsi="Times New Roman" w:eastAsia="宋体" w:cs="Times New Roman"/>
          <w:color w:val="222222"/>
          <w:szCs w:val="24"/>
        </w:rPr>
      </w:pPr>
    </w:p>
    <w:p>
      <w:pPr>
        <w:rPr>
          <w:rFonts w:ascii="宋体" w:hAnsi="宋体" w:eastAsia="宋体" w:cs="宋体"/>
          <w:kern w:val="0"/>
          <w:szCs w:val="21"/>
        </w:rPr>
      </w:pPr>
      <w:r>
        <w:rPr>
          <w:rFonts w:hint="eastAsia" w:ascii="宋体" w:hAnsi="宋体" w:eastAsia="宋体" w:cs="宋体"/>
          <w:b/>
          <w:bCs/>
          <w:kern w:val="0"/>
          <w:szCs w:val="21"/>
        </w:rPr>
        <w:t>八、关于质疑：</w:t>
      </w:r>
      <w:r>
        <w:rPr>
          <w:rFonts w:hint="eastAsia" w:ascii="宋体" w:hAnsi="宋体" w:eastAsia="宋体" w:cs="宋体"/>
          <w:kern w:val="0"/>
          <w:szCs w:val="21"/>
        </w:rPr>
        <w:t>供应商认为采购文件的内容损害其权益的，应在采购文件公布之日起五个工作日内提出。质疑函应以书面形式提交到深圳大学总医院招投标管理办公室，逾期不予受理。质疑函须加盖投标人公章。</w:t>
      </w:r>
    </w:p>
    <w:p>
      <w:pPr>
        <w:rPr>
          <w:rFonts w:ascii="宋体" w:hAnsi="宋体" w:eastAsia="宋体" w:cs="宋体"/>
          <w:kern w:val="0"/>
          <w:szCs w:val="21"/>
        </w:rPr>
      </w:pPr>
      <w:r>
        <w:rPr>
          <w:rFonts w:hint="eastAsia" w:ascii="宋体" w:hAnsi="宋体" w:eastAsia="宋体" w:cs="宋体"/>
          <w:kern w:val="0"/>
          <w:szCs w:val="21"/>
        </w:rPr>
        <w:t>答疑结果将在网站</w:t>
      </w:r>
      <w:r>
        <w:fldChar w:fldCharType="begin"/>
      </w:r>
      <w:r>
        <w:instrText xml:space="preserve"> HYPERLINK "http://www.sugh.net/Html/News/Columns/4/Index.html" </w:instrText>
      </w:r>
      <w:r>
        <w:fldChar w:fldCharType="separate"/>
      </w:r>
      <w:r>
        <w:rPr>
          <w:rStyle w:val="61"/>
          <w:rFonts w:ascii="Times New Roman" w:hAnsi="Times New Roman" w:eastAsia="宋体" w:cs="Times New Roman"/>
          <w:color w:val="222222"/>
          <w:szCs w:val="24"/>
        </w:rPr>
        <w:t>http://www.sugh.net/Html/News/Columns/4/Index.html</w:t>
      </w:r>
      <w:r>
        <w:rPr>
          <w:rStyle w:val="61"/>
          <w:rFonts w:ascii="Times New Roman" w:hAnsi="Times New Roman" w:eastAsia="宋体" w:cs="Times New Roman"/>
          <w:kern w:val="0"/>
          <w:szCs w:val="21"/>
        </w:rPr>
        <w:t xml:space="preserve"> </w:t>
      </w:r>
      <w:r>
        <w:rPr>
          <w:rStyle w:val="61"/>
          <w:rFonts w:ascii="Times New Roman" w:hAnsi="Times New Roman" w:eastAsia="宋体" w:cs="Times New Roman"/>
          <w:kern w:val="0"/>
          <w:szCs w:val="21"/>
        </w:rPr>
        <w:fldChar w:fldCharType="end"/>
      </w:r>
      <w:r>
        <w:rPr>
          <w:rFonts w:hint="eastAsia" w:ascii="宋体" w:hAnsi="宋体" w:eastAsia="宋体" w:cs="宋体"/>
          <w:kern w:val="0"/>
          <w:szCs w:val="21"/>
        </w:rPr>
        <w:t xml:space="preserve">“招标公告”中公布，望投标人予以关注。 </w:t>
      </w:r>
    </w:p>
    <w:p>
      <w:pPr>
        <w:rPr>
          <w:rFonts w:ascii="宋体" w:hAnsi="宋体" w:cs="宋体"/>
          <w:kern w:val="0"/>
          <w:szCs w:val="21"/>
        </w:rPr>
      </w:pPr>
    </w:p>
    <w:p>
      <w:pPr>
        <w:jc w:val="left"/>
        <w:rPr>
          <w:rFonts w:ascii="宋体" w:hAnsi="宋体" w:eastAsia="宋体" w:cs="宋体"/>
          <w:kern w:val="0"/>
          <w:szCs w:val="21"/>
        </w:rPr>
      </w:pPr>
      <w:r>
        <w:rPr>
          <w:rFonts w:hint="eastAsia" w:ascii="宋体" w:hAnsi="宋体" w:eastAsia="宋体" w:cs="宋体"/>
          <w:b/>
          <w:bCs/>
          <w:kern w:val="0"/>
          <w:szCs w:val="21"/>
        </w:rPr>
        <w:t>九、投标截止时间：</w:t>
      </w:r>
      <w:r>
        <w:rPr>
          <w:rFonts w:hint="eastAsia" w:ascii="宋体" w:hAnsi="宋体" w:eastAsia="宋体" w:cs="宋体"/>
          <w:kern w:val="0"/>
          <w:szCs w:val="21"/>
        </w:rPr>
        <w:t>所有投标文件应于</w:t>
      </w:r>
      <w:r>
        <w:rPr>
          <w:rFonts w:hint="eastAsia" w:ascii="Times New Roman" w:hAnsi="Times New Roman" w:eastAsia="宋体" w:cs="Times New Roman"/>
          <w:color w:val="FF0000"/>
          <w:kern w:val="0"/>
          <w:szCs w:val="21"/>
        </w:rPr>
        <w:t>2024年6月25日（星期二）</w:t>
      </w:r>
      <w:r>
        <w:rPr>
          <w:rFonts w:ascii="Times New Roman" w:hAnsi="Times New Roman" w:eastAsia="宋体" w:cs="Times New Roman"/>
          <w:color w:val="FF0000"/>
          <w:kern w:val="0"/>
          <w:szCs w:val="21"/>
        </w:rPr>
        <w:t>14</w:t>
      </w:r>
      <w:r>
        <w:rPr>
          <w:rFonts w:hint="eastAsia" w:ascii="Times New Roman" w:hAnsi="Times New Roman" w:eastAsia="宋体" w:cs="Times New Roman"/>
          <w:color w:val="FF0000"/>
          <w:kern w:val="0"/>
          <w:szCs w:val="21"/>
        </w:rPr>
        <w:t>:30</w:t>
      </w:r>
      <w:r>
        <w:rPr>
          <w:rFonts w:ascii="Times New Roman" w:hAnsi="Times New Roman" w:eastAsia="宋体" w:cs="Times New Roman"/>
          <w:color w:val="FF0000"/>
          <w:kern w:val="0"/>
          <w:szCs w:val="21"/>
        </w:rPr>
        <w:t>(北京时间)</w:t>
      </w:r>
      <w:r>
        <w:rPr>
          <w:rFonts w:hint="eastAsia" w:ascii="宋体" w:hAnsi="宋体" w:eastAsia="宋体" w:cs="宋体"/>
          <w:kern w:val="0"/>
          <w:szCs w:val="21"/>
        </w:rPr>
        <w:t>之前</w:t>
      </w:r>
      <w:r>
        <w:rPr>
          <w:rFonts w:hint="eastAsia" w:ascii="宋体" w:hAnsi="宋体" w:eastAsia="宋体" w:cs="宋体"/>
          <w:color w:val="000000"/>
          <w:kern w:val="0"/>
          <w:szCs w:val="21"/>
        </w:rPr>
        <w:t>递交到深圳大学总医院招投标管理办公室。</w:t>
      </w:r>
    </w:p>
    <w:p>
      <w:pPr>
        <w:widowControl/>
        <w:spacing w:before="100" w:beforeAutospacing="1" w:after="100" w:afterAutospacing="1" w:line="15" w:lineRule="auto"/>
        <w:jc w:val="left"/>
        <w:rPr>
          <w:rFonts w:ascii="Times New Roman" w:hAnsi="Times New Roman" w:eastAsia="宋体" w:cs="Times New Roman"/>
          <w:kern w:val="0"/>
          <w:szCs w:val="21"/>
        </w:rPr>
      </w:pPr>
      <w:r>
        <w:rPr>
          <w:rFonts w:hint="eastAsia" w:ascii="Times New Roman" w:hAnsi="Times New Roman" w:eastAsia="宋体" w:cs="Times New Roman"/>
          <w:b/>
          <w:bCs/>
          <w:kern w:val="0"/>
          <w:szCs w:val="21"/>
        </w:rPr>
        <w:t>十、</w:t>
      </w:r>
      <w:r>
        <w:rPr>
          <w:rFonts w:ascii="Times New Roman" w:hAnsi="Times New Roman" w:eastAsia="宋体" w:cs="Times New Roman"/>
          <w:b/>
          <w:bCs/>
          <w:kern w:val="0"/>
          <w:szCs w:val="21"/>
        </w:rPr>
        <w:t>开标时间和地点：</w:t>
      </w:r>
      <w:r>
        <w:rPr>
          <w:rFonts w:ascii="Times New Roman" w:hAnsi="Times New Roman" w:eastAsia="宋体" w:cs="Times New Roman"/>
          <w:kern w:val="0"/>
          <w:szCs w:val="21"/>
        </w:rPr>
        <w:t>定于</w:t>
      </w:r>
      <w:r>
        <w:rPr>
          <w:rFonts w:hint="eastAsia" w:ascii="Times New Roman" w:hAnsi="Times New Roman" w:eastAsia="宋体" w:cs="Times New Roman"/>
          <w:color w:val="FF0000"/>
          <w:kern w:val="0"/>
          <w:szCs w:val="21"/>
        </w:rPr>
        <w:t>2024年6月25日（星期二）</w:t>
      </w:r>
      <w:r>
        <w:rPr>
          <w:rFonts w:ascii="Times New Roman" w:hAnsi="Times New Roman" w:eastAsia="宋体" w:cs="Times New Roman"/>
          <w:color w:val="FF0000"/>
          <w:kern w:val="0"/>
          <w:szCs w:val="21"/>
        </w:rPr>
        <w:t>14</w:t>
      </w:r>
      <w:r>
        <w:rPr>
          <w:rFonts w:hint="eastAsia" w:ascii="Times New Roman" w:hAnsi="Times New Roman" w:eastAsia="宋体" w:cs="Times New Roman"/>
          <w:color w:val="FF0000"/>
          <w:kern w:val="0"/>
          <w:szCs w:val="21"/>
        </w:rPr>
        <w:t>:30</w:t>
      </w:r>
      <w:r>
        <w:rPr>
          <w:rFonts w:ascii="Times New Roman" w:hAnsi="Times New Roman" w:eastAsia="宋体" w:cs="Times New Roman"/>
          <w:color w:val="FF0000"/>
          <w:kern w:val="0"/>
          <w:szCs w:val="21"/>
        </w:rPr>
        <w:t>(北京时间)</w:t>
      </w:r>
      <w:r>
        <w:rPr>
          <w:rFonts w:ascii="Times New Roman" w:hAnsi="Times New Roman" w:eastAsia="宋体" w:cs="Times New Roman"/>
          <w:kern w:val="0"/>
          <w:szCs w:val="21"/>
        </w:rPr>
        <w:t>，在</w:t>
      </w:r>
      <w:r>
        <w:rPr>
          <w:rFonts w:hint="eastAsia" w:ascii="Times New Roman" w:hAnsi="Times New Roman" w:eastAsia="宋体" w:cs="Times New Roman"/>
          <w:kern w:val="0"/>
          <w:szCs w:val="21"/>
        </w:rPr>
        <w:t>深圳大学总医院招投标管理办公室</w:t>
      </w:r>
      <w:r>
        <w:rPr>
          <w:rFonts w:ascii="Times New Roman" w:hAnsi="Times New Roman" w:eastAsia="宋体" w:cs="Times New Roman"/>
          <w:kern w:val="0"/>
          <w:szCs w:val="21"/>
        </w:rPr>
        <w:t>公开开标。</w:t>
      </w:r>
      <w:r>
        <w:rPr>
          <w:rFonts w:ascii="Times New Roman" w:hAnsi="Times New Roman" w:eastAsia="宋体" w:cs="Times New Roman"/>
          <w:color w:val="000000"/>
          <w:kern w:val="0"/>
          <w:szCs w:val="21"/>
        </w:rPr>
        <w:t>开标室：</w:t>
      </w:r>
      <w:r>
        <w:rPr>
          <w:rFonts w:hint="eastAsia" w:ascii="Times New Roman" w:hAnsi="Times New Roman" w:eastAsia="宋体" w:cs="Times New Roman"/>
          <w:color w:val="FF0000"/>
          <w:kern w:val="0"/>
          <w:szCs w:val="21"/>
        </w:rPr>
        <w:t>深圳大学总医院职工餐厅旁钢结构活动板房108室</w:t>
      </w:r>
      <w:r>
        <w:rPr>
          <w:rFonts w:ascii="Times New Roman" w:hAnsi="Times New Roman" w:eastAsia="宋体" w:cs="Times New Roman"/>
          <w:color w:val="000000"/>
          <w:kern w:val="0"/>
          <w:szCs w:val="21"/>
        </w:rPr>
        <w:t>。届时请参加投标的代表出席开标仪式（投标文件直接送至开标地点）。</w:t>
      </w:r>
    </w:p>
    <w:p>
      <w:pPr>
        <w:widowControl/>
        <w:spacing w:line="240" w:lineRule="atLeast"/>
        <w:jc w:val="left"/>
        <w:rPr>
          <w:rFonts w:ascii="Times New Roman" w:hAnsi="Times New Roman" w:eastAsia="宋体" w:cs="Times New Roman"/>
          <w:b/>
          <w:bCs/>
          <w:kern w:val="0"/>
          <w:szCs w:val="21"/>
        </w:rPr>
      </w:pPr>
      <w:r>
        <w:rPr>
          <w:rFonts w:hint="eastAsia" w:ascii="Times New Roman" w:hAnsi="Times New Roman" w:eastAsia="宋体" w:cs="Times New Roman"/>
          <w:b/>
          <w:bCs/>
          <w:kern w:val="0"/>
          <w:szCs w:val="21"/>
        </w:rPr>
        <w:t>十一、重要提示：</w:t>
      </w:r>
    </w:p>
    <w:p>
      <w:pPr>
        <w:widowControl/>
        <w:numPr>
          <w:ilvl w:val="0"/>
          <w:numId w:val="14"/>
        </w:numPr>
        <w:spacing w:line="240" w:lineRule="atLeast"/>
        <w:jc w:val="left"/>
        <w:rPr>
          <w:rFonts w:ascii="Times New Roman" w:hAnsi="Times New Roman" w:eastAsia="宋体" w:cs="Times New Roman"/>
          <w:kern w:val="0"/>
          <w:szCs w:val="21"/>
        </w:rPr>
      </w:pPr>
      <w:r>
        <w:rPr>
          <w:rFonts w:ascii="Times New Roman" w:hAnsi="Times New Roman" w:eastAsia="宋体" w:cs="Times New Roman"/>
          <w:kern w:val="0"/>
          <w:szCs w:val="21"/>
        </w:rPr>
        <w:t>警示条款：</w:t>
      </w:r>
      <w:r>
        <w:rPr>
          <w:rFonts w:hint="eastAsia" w:ascii="Times New Roman" w:hAnsi="Times New Roman" w:eastAsia="宋体" w:cs="Times New Roman"/>
          <w:kern w:val="0"/>
          <w:szCs w:val="21"/>
        </w:rPr>
        <w:t xml:space="preserve">深圳大学总医院招投标管理办公室 </w:t>
      </w:r>
      <w:r>
        <w:rPr>
          <w:rFonts w:ascii="Times New Roman" w:hAnsi="Times New Roman" w:eastAsia="宋体" w:cs="Times New Roman"/>
          <w:kern w:val="0"/>
          <w:szCs w:val="21"/>
        </w:rPr>
        <w:t>有权对所有投标供应商就本项目招标文件要求提供的相关证明材料（原件）进行审查。供应商提供虚假资料被查实的，则可能面临被取消本项目中标资格、列入不良行为记录名单和三年内禁止参与</w:t>
      </w:r>
      <w:r>
        <w:rPr>
          <w:rFonts w:hint="eastAsia" w:ascii="Times New Roman" w:hAnsi="Times New Roman" w:eastAsia="宋体" w:cs="Times New Roman"/>
          <w:kern w:val="0"/>
          <w:szCs w:val="21"/>
        </w:rPr>
        <w:t>深圳大学总医院</w:t>
      </w:r>
      <w:r>
        <w:rPr>
          <w:rFonts w:ascii="Times New Roman" w:hAnsi="Times New Roman" w:eastAsia="宋体" w:cs="Times New Roman"/>
          <w:kern w:val="0"/>
          <w:szCs w:val="21"/>
        </w:rPr>
        <w:t>采购活动的风险</w:t>
      </w:r>
      <w:r>
        <w:rPr>
          <w:rFonts w:hint="eastAsia" w:ascii="Times New Roman" w:hAnsi="Times New Roman" w:eastAsia="宋体" w:cs="Times New Roman"/>
          <w:kern w:val="0"/>
          <w:szCs w:val="21"/>
        </w:rPr>
        <w:t>。</w:t>
      </w:r>
    </w:p>
    <w:p>
      <w:pPr>
        <w:widowControl/>
        <w:spacing w:line="240" w:lineRule="atLeast"/>
        <w:jc w:val="left"/>
        <w:rPr>
          <w:rFonts w:ascii="Times New Roman" w:hAnsi="Times New Roman" w:eastAsia="宋体" w:cs="Times New Roman"/>
          <w:kern w:val="0"/>
          <w:szCs w:val="21"/>
        </w:rPr>
      </w:pPr>
      <w:r>
        <w:rPr>
          <w:rFonts w:hint="eastAsia" w:ascii="Times New Roman" w:hAnsi="Times New Roman" w:eastAsia="宋体" w:cs="Times New Roman"/>
          <w:kern w:val="0"/>
          <w:szCs w:val="21"/>
        </w:rPr>
        <w:t>2、本招标公告及本项目招标文件所涉及的时间一律为北京时间。投标人有义务在招标活动期间浏览深圳大学总医院官网“招标公告”（</w:t>
      </w:r>
      <w:r>
        <w:fldChar w:fldCharType="begin"/>
      </w:r>
      <w:r>
        <w:instrText xml:space="preserve"> HYPERLINK "http://www.sugh.net/Html/News/Columns/4/Index.html" </w:instrText>
      </w:r>
      <w:r>
        <w:fldChar w:fldCharType="separate"/>
      </w:r>
      <w:r>
        <w:rPr>
          <w:rStyle w:val="61"/>
          <w:rFonts w:hint="eastAsia" w:ascii="Times New Roman" w:hAnsi="Times New Roman" w:eastAsia="宋体" w:cs="Times New Roman"/>
          <w:kern w:val="0"/>
          <w:szCs w:val="21"/>
        </w:rPr>
        <w:t>http://www.sugh.net/Html/News/Columns/4/Index.html</w:t>
      </w:r>
      <w:r>
        <w:rPr>
          <w:rStyle w:val="61"/>
          <w:rFonts w:hint="eastAsia" w:ascii="Times New Roman" w:hAnsi="Times New Roman" w:eastAsia="宋体" w:cs="Times New Roman"/>
          <w:kern w:val="0"/>
          <w:szCs w:val="21"/>
        </w:rPr>
        <w:fldChar w:fldCharType="end"/>
      </w:r>
      <w:r>
        <w:rPr>
          <w:rFonts w:hint="eastAsia" w:ascii="Times New Roman" w:hAnsi="Times New Roman" w:eastAsia="宋体" w:cs="Times New Roman"/>
          <w:kern w:val="0"/>
          <w:szCs w:val="21"/>
        </w:rPr>
        <w:t xml:space="preserve">），在深圳大学总医院官网“招标公告”上公布的与本次招标项目有关的信息视为已送达各投标人。 </w:t>
      </w:r>
    </w:p>
    <w:p>
      <w:pPr>
        <w:widowControl/>
        <w:spacing w:line="240" w:lineRule="atLeast"/>
        <w:jc w:val="left"/>
        <w:rPr>
          <w:rFonts w:ascii="Times New Roman" w:hAnsi="Times New Roman" w:eastAsia="宋体" w:cs="Times New Roman"/>
          <w:kern w:val="0"/>
          <w:szCs w:val="21"/>
        </w:rPr>
      </w:pPr>
      <w:r>
        <w:rPr>
          <w:rFonts w:hint="eastAsia" w:ascii="Times New Roman" w:hAnsi="Times New Roman" w:eastAsia="宋体" w:cs="Times New Roman"/>
          <w:kern w:val="0"/>
          <w:szCs w:val="21"/>
        </w:rPr>
        <w:t>3、交纳投标保证金：本项目无须交纳投标保证金。</w:t>
      </w:r>
    </w:p>
    <w:p>
      <w:pPr>
        <w:spacing w:line="260" w:lineRule="exact"/>
        <w:ind w:firstLine="420" w:firstLineChars="200"/>
        <w:jc w:val="left"/>
        <w:rPr>
          <w:rFonts w:ascii="Times New Roman" w:hAnsi="Times New Roman" w:eastAsia="宋体" w:cs="Times New Roman"/>
          <w:szCs w:val="21"/>
          <w:u w:val="single"/>
        </w:rPr>
      </w:pPr>
    </w:p>
    <w:p>
      <w:pPr>
        <w:spacing w:before="231" w:beforeLines="50" w:line="260" w:lineRule="exact"/>
        <w:jc w:val="right"/>
        <w:rPr>
          <w:rFonts w:ascii="Times New Roman" w:hAnsi="Times New Roman" w:eastAsia="宋体" w:cs="Times New Roman"/>
          <w:color w:val="000000"/>
          <w:sz w:val="24"/>
        </w:rPr>
      </w:pPr>
      <w:r>
        <w:rPr>
          <w:rFonts w:ascii="Times New Roman" w:hAnsi="Times New Roman" w:eastAsia="宋体" w:cs="Times New Roman"/>
          <w:color w:val="000000"/>
        </w:rPr>
        <w:t>招标机构名称：</w:t>
      </w:r>
      <w:r>
        <w:rPr>
          <w:rFonts w:hint="eastAsia" w:ascii="Times New Roman" w:hAnsi="Times New Roman" w:eastAsia="宋体" w:cs="Times New Roman"/>
          <w:color w:val="000000"/>
        </w:rPr>
        <w:t xml:space="preserve">深圳大学总医院招投标管理办公室   </w:t>
      </w:r>
    </w:p>
    <w:p>
      <w:pPr>
        <w:wordWrap w:val="0"/>
        <w:spacing w:before="231" w:beforeLines="50" w:line="260" w:lineRule="exact"/>
        <w:jc w:val="right"/>
        <w:rPr>
          <w:rFonts w:ascii="Times New Roman" w:hAnsi="Times New Roman" w:eastAsia="宋体" w:cs="Times New Roman"/>
          <w:color w:val="000000"/>
        </w:rPr>
      </w:pPr>
      <w:r>
        <w:rPr>
          <w:rFonts w:ascii="Times New Roman" w:hAnsi="Times New Roman" w:eastAsia="宋体" w:cs="Times New Roman"/>
          <w:color w:val="000000"/>
        </w:rPr>
        <w:t>联系人：</w:t>
      </w:r>
      <w:r>
        <w:rPr>
          <w:rFonts w:hint="eastAsia" w:ascii="Times New Roman" w:hAnsi="Times New Roman" w:eastAsia="宋体" w:cs="Times New Roman"/>
          <w:color w:val="000000"/>
        </w:rPr>
        <w:t>韩</w:t>
      </w:r>
      <w:r>
        <w:rPr>
          <w:rFonts w:ascii="Times New Roman" w:hAnsi="Times New Roman" w:eastAsia="宋体" w:cs="Times New Roman"/>
          <w:color w:val="000000"/>
        </w:rPr>
        <w:t>老师 电话：（0755）</w:t>
      </w:r>
      <w:r>
        <w:rPr>
          <w:rFonts w:hint="eastAsia" w:ascii="Times New Roman" w:hAnsi="Times New Roman" w:eastAsia="宋体" w:cs="Times New Roman"/>
          <w:color w:val="000000"/>
        </w:rPr>
        <w:t>2183</w:t>
      </w:r>
      <w:r>
        <w:rPr>
          <w:rFonts w:ascii="Times New Roman" w:hAnsi="Times New Roman" w:eastAsia="宋体" w:cs="Times New Roman"/>
          <w:color w:val="000000"/>
        </w:rPr>
        <w:t xml:space="preserve"> </w:t>
      </w:r>
      <w:r>
        <w:rPr>
          <w:rFonts w:hint="eastAsia" w:ascii="Times New Roman" w:hAnsi="Times New Roman" w:eastAsia="宋体" w:cs="Times New Roman"/>
          <w:color w:val="000000"/>
        </w:rPr>
        <w:t>993</w:t>
      </w:r>
      <w:r>
        <w:rPr>
          <w:rFonts w:ascii="Times New Roman" w:hAnsi="Times New Roman" w:eastAsia="宋体" w:cs="Times New Roman"/>
          <w:color w:val="000000"/>
        </w:rPr>
        <w:t>2</w:t>
      </w:r>
    </w:p>
    <w:p>
      <w:pPr>
        <w:spacing w:before="231" w:beforeLines="50" w:line="260" w:lineRule="exact"/>
        <w:jc w:val="right"/>
        <w:rPr>
          <w:rFonts w:ascii="Times New Roman" w:hAnsi="Times New Roman" w:eastAsia="宋体" w:cs="Times New Roman"/>
          <w:color w:val="000000"/>
        </w:rPr>
      </w:pPr>
      <w:r>
        <w:rPr>
          <w:rFonts w:ascii="Times New Roman" w:hAnsi="Times New Roman" w:eastAsia="宋体" w:cs="Times New Roman"/>
          <w:color w:val="000000"/>
        </w:rPr>
        <w:t>招投标投诉电话：0755-</w:t>
      </w:r>
      <w:r>
        <w:rPr>
          <w:rFonts w:hint="eastAsia" w:ascii="Times New Roman" w:hAnsi="Times New Roman" w:eastAsia="宋体" w:cs="Times New Roman"/>
          <w:color w:val="000000"/>
        </w:rPr>
        <w:t>2183 8923</w:t>
      </w:r>
      <w:r>
        <w:rPr>
          <w:rFonts w:ascii="Times New Roman" w:hAnsi="Times New Roman" w:eastAsia="宋体" w:cs="Times New Roman"/>
          <w:color w:val="000000"/>
        </w:rPr>
        <w:t xml:space="preserve">  投诉邮箱：</w:t>
      </w:r>
      <w:r>
        <w:fldChar w:fldCharType="begin"/>
      </w:r>
      <w:r>
        <w:instrText xml:space="preserve"> HYPERLINK "mailto:sughztb@szu.edu.cn" </w:instrText>
      </w:r>
      <w:r>
        <w:fldChar w:fldCharType="separate"/>
      </w:r>
      <w:r>
        <w:rPr>
          <w:rStyle w:val="61"/>
          <w:rFonts w:hint="eastAsia" w:ascii="Times New Roman" w:hAnsi="Times New Roman" w:eastAsia="宋体" w:cs="Times New Roman"/>
          <w:color w:val="002BFF"/>
        </w:rPr>
        <w:t>sughztb@szu.edu.cn</w:t>
      </w:r>
      <w:r>
        <w:rPr>
          <w:rStyle w:val="61"/>
          <w:rFonts w:hint="eastAsia" w:ascii="Times New Roman" w:hAnsi="Times New Roman" w:eastAsia="宋体" w:cs="Times New Roman"/>
          <w:color w:val="002BFF"/>
        </w:rPr>
        <w:fldChar w:fldCharType="end"/>
      </w:r>
    </w:p>
    <w:p>
      <w:pPr>
        <w:spacing w:before="231" w:beforeLines="50" w:line="260" w:lineRule="exact"/>
        <w:jc w:val="right"/>
        <w:rPr>
          <w:rFonts w:ascii="Times New Roman" w:hAnsi="Times New Roman" w:eastAsia="宋体" w:cs="Times New Roman"/>
          <w:color w:val="000000"/>
        </w:rPr>
      </w:pPr>
      <w:r>
        <w:rPr>
          <w:rFonts w:ascii="Times New Roman" w:hAnsi="Times New Roman" w:eastAsia="宋体" w:cs="Times New Roman"/>
          <w:color w:val="000000"/>
        </w:rPr>
        <w:t>受理单位</w:t>
      </w:r>
      <w:r>
        <w:rPr>
          <w:rFonts w:hint="eastAsia" w:ascii="Times New Roman" w:hAnsi="Times New Roman" w:eastAsia="宋体" w:cs="Times New Roman"/>
          <w:color w:val="000000"/>
        </w:rPr>
        <w:t>：</w:t>
      </w:r>
      <w:r>
        <w:rPr>
          <w:rFonts w:ascii="Times New Roman" w:hAnsi="Times New Roman" w:eastAsia="宋体" w:cs="Times New Roman"/>
          <w:color w:val="000000"/>
        </w:rPr>
        <w:t xml:space="preserve"> </w:t>
      </w:r>
      <w:r>
        <w:rPr>
          <w:rFonts w:hint="eastAsia" w:ascii="Times New Roman" w:hAnsi="Times New Roman" w:eastAsia="宋体" w:cs="Times New Roman"/>
          <w:color w:val="000000"/>
        </w:rPr>
        <w:t xml:space="preserve">深圳大学总医院招投标管理办公室   </w:t>
      </w:r>
    </w:p>
    <w:p>
      <w:pPr>
        <w:spacing w:before="231" w:beforeLines="50" w:line="260" w:lineRule="exact"/>
        <w:jc w:val="right"/>
        <w:rPr>
          <w:rFonts w:ascii="宋体" w:hAnsi="宋体" w:eastAsia="宋体" w:cs="Times New Roman"/>
          <w:b/>
          <w:bCs/>
          <w:kern w:val="0"/>
          <w:sz w:val="24"/>
          <w:szCs w:val="20"/>
        </w:rPr>
      </w:pPr>
      <w:r>
        <w:rPr>
          <w:rFonts w:ascii="Times New Roman" w:hAnsi="Times New Roman" w:eastAsia="宋体" w:cs="Times New Roman"/>
          <w:color w:val="000000"/>
        </w:rPr>
        <w:t>纪委监督电话：(0755)2183 9865</w:t>
      </w:r>
    </w:p>
    <w:p>
      <w:pPr>
        <w:pageBreakBefore/>
        <w:spacing w:line="276" w:lineRule="auto"/>
        <w:jc w:val="center"/>
        <w:rPr>
          <w:rFonts w:ascii="Times New Roman" w:hAnsi="Times New Roman" w:eastAsia="宋体" w:cs="Times New Roman"/>
          <w:sz w:val="24"/>
          <w:szCs w:val="24"/>
        </w:rPr>
      </w:pPr>
      <w:r>
        <w:rPr>
          <w:rFonts w:hint="eastAsia" w:ascii="宋体" w:hAnsi="宋体" w:eastAsia="宋体" w:cs="Times New Roman"/>
          <w:b/>
          <w:bCs/>
          <w:kern w:val="0"/>
          <w:sz w:val="24"/>
          <w:szCs w:val="20"/>
        </w:rPr>
        <w:t>第二章  招标项目需求</w:t>
      </w:r>
    </w:p>
    <w:p>
      <w:pPr>
        <w:keepNext/>
        <w:keepLines/>
        <w:adjustRightInd w:val="0"/>
        <w:spacing w:before="231" w:beforeLines="50" w:after="231" w:afterLines="50"/>
        <w:jc w:val="center"/>
        <w:textAlignment w:val="baseline"/>
        <w:outlineLvl w:val="1"/>
        <w:rPr>
          <w:rFonts w:ascii="宋体" w:hAnsi="宋体" w:eastAsia="宋体" w:cs="Times New Roman"/>
          <w:b/>
          <w:bCs/>
          <w:kern w:val="0"/>
          <w:sz w:val="28"/>
          <w:szCs w:val="28"/>
        </w:rPr>
      </w:pPr>
      <w:bookmarkStart w:id="9" w:name="_Toc73518117"/>
      <w:bookmarkStart w:id="10" w:name="_Toc73521635"/>
      <w:bookmarkStart w:id="11" w:name="_Toc60631620"/>
      <w:bookmarkStart w:id="12" w:name="_Toc60560625"/>
      <w:bookmarkStart w:id="13" w:name="_Toc73521547"/>
      <w:bookmarkStart w:id="14" w:name="_Toc101074876"/>
      <w:bookmarkStart w:id="15" w:name="_Toc73517639"/>
      <w:bookmarkStart w:id="16" w:name="_Toc100052364"/>
      <w:r>
        <w:rPr>
          <w:rFonts w:hint="eastAsia" w:ascii="宋体" w:hAnsi="宋体" w:eastAsia="宋体" w:cs="Times New Roman"/>
          <w:b/>
          <w:bCs/>
          <w:kern w:val="0"/>
          <w:sz w:val="28"/>
          <w:szCs w:val="28"/>
        </w:rPr>
        <w:t>一、对通用条款的补充内容</w:t>
      </w:r>
    </w:p>
    <w:bookmarkEnd w:id="9"/>
    <w:bookmarkEnd w:id="10"/>
    <w:bookmarkEnd w:id="11"/>
    <w:bookmarkEnd w:id="12"/>
    <w:bookmarkEnd w:id="13"/>
    <w:bookmarkEnd w:id="14"/>
    <w:bookmarkEnd w:id="15"/>
    <w:bookmarkEnd w:id="16"/>
    <w:tbl>
      <w:tblPr>
        <w:tblStyle w:val="54"/>
        <w:tblW w:w="8367" w:type="dxa"/>
        <w:jc w:val="center"/>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807"/>
        <w:gridCol w:w="2160"/>
        <w:gridCol w:w="5400"/>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20" w:hRule="atLeast"/>
          <w:jc w:val="center"/>
        </w:trPr>
        <w:tc>
          <w:tcPr>
            <w:tcW w:w="807" w:type="dxa"/>
            <w:vAlign w:val="center"/>
          </w:tcPr>
          <w:p>
            <w:pPr>
              <w:jc w:val="center"/>
              <w:rPr>
                <w:rFonts w:ascii="宋体" w:hAnsi="宋体" w:eastAsia="宋体" w:cs="Times New Roman"/>
                <w:b/>
                <w:bCs/>
                <w:szCs w:val="24"/>
              </w:rPr>
            </w:pPr>
            <w:r>
              <w:rPr>
                <w:rFonts w:hint="eastAsia" w:ascii="宋体" w:hAnsi="宋体" w:eastAsia="宋体" w:cs="Times New Roman"/>
                <w:b/>
                <w:bCs/>
                <w:szCs w:val="24"/>
              </w:rPr>
              <w:t>序号</w:t>
            </w:r>
          </w:p>
        </w:tc>
        <w:tc>
          <w:tcPr>
            <w:tcW w:w="2160" w:type="dxa"/>
            <w:vAlign w:val="center"/>
          </w:tcPr>
          <w:p>
            <w:pPr>
              <w:jc w:val="center"/>
              <w:rPr>
                <w:rFonts w:ascii="宋体" w:hAnsi="宋体" w:eastAsia="宋体" w:cs="Times New Roman"/>
                <w:b/>
                <w:bCs/>
                <w:szCs w:val="24"/>
              </w:rPr>
            </w:pPr>
            <w:r>
              <w:rPr>
                <w:rFonts w:hint="eastAsia" w:ascii="宋体" w:hAnsi="宋体" w:eastAsia="宋体" w:cs="Times New Roman"/>
                <w:b/>
                <w:bCs/>
                <w:szCs w:val="24"/>
              </w:rPr>
              <w:t>内   容</w:t>
            </w:r>
          </w:p>
        </w:tc>
        <w:tc>
          <w:tcPr>
            <w:tcW w:w="5400" w:type="dxa"/>
            <w:vAlign w:val="center"/>
          </w:tcPr>
          <w:p>
            <w:pPr>
              <w:jc w:val="center"/>
              <w:rPr>
                <w:rFonts w:ascii="宋体" w:hAnsi="宋体" w:eastAsia="宋体" w:cs="Times New Roman"/>
                <w:b/>
                <w:bCs/>
                <w:szCs w:val="24"/>
              </w:rPr>
            </w:pPr>
            <w:r>
              <w:rPr>
                <w:rFonts w:hint="eastAsia" w:ascii="宋体" w:hAnsi="宋体" w:eastAsia="宋体" w:cs="Times New Roman"/>
                <w:b/>
                <w:bCs/>
                <w:szCs w:val="24"/>
              </w:rPr>
              <w:t>规      定</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20" w:hRule="atLeast"/>
          <w:jc w:val="center"/>
        </w:trPr>
        <w:tc>
          <w:tcPr>
            <w:tcW w:w="807" w:type="dxa"/>
            <w:vAlign w:val="center"/>
          </w:tcPr>
          <w:p>
            <w:pPr>
              <w:jc w:val="center"/>
              <w:rPr>
                <w:rFonts w:ascii="宋体" w:hAnsi="宋体" w:eastAsia="宋体" w:cs="Times New Roman"/>
                <w:szCs w:val="24"/>
              </w:rPr>
            </w:pPr>
            <w:r>
              <w:rPr>
                <w:rFonts w:hint="eastAsia" w:ascii="宋体" w:hAnsi="宋体" w:eastAsia="宋体" w:cs="Times New Roman"/>
                <w:szCs w:val="24"/>
              </w:rPr>
              <w:t>1</w:t>
            </w:r>
          </w:p>
        </w:tc>
        <w:tc>
          <w:tcPr>
            <w:tcW w:w="2160" w:type="dxa"/>
            <w:vAlign w:val="center"/>
          </w:tcPr>
          <w:p>
            <w:pPr>
              <w:rPr>
                <w:rFonts w:ascii="Times New Roman" w:hAnsi="Times New Roman" w:eastAsia="宋体" w:cs="Times New Roman"/>
                <w:szCs w:val="24"/>
              </w:rPr>
            </w:pPr>
            <w:r>
              <w:rPr>
                <w:rFonts w:hint="eastAsia" w:ascii="Times New Roman" w:hAnsi="Times New Roman" w:eastAsia="宋体" w:cs="Times New Roman"/>
                <w:szCs w:val="24"/>
              </w:rPr>
              <w:t>联合体投标</w:t>
            </w:r>
          </w:p>
        </w:tc>
        <w:tc>
          <w:tcPr>
            <w:tcW w:w="5400" w:type="dxa"/>
            <w:vAlign w:val="center"/>
          </w:tcPr>
          <w:p>
            <w:pPr>
              <w:rPr>
                <w:rFonts w:ascii="宋体" w:hAnsi="宋体" w:eastAsia="宋体" w:cs="Times New Roman"/>
                <w:snapToGrid w:val="0"/>
                <w:kern w:val="0"/>
                <w:szCs w:val="32"/>
                <w:u w:val="single"/>
                <w:lang w:val="zh-CN"/>
              </w:rPr>
            </w:pPr>
            <w:r>
              <w:rPr>
                <w:rFonts w:hint="eastAsia" w:ascii="宋体" w:hAnsi="宋体" w:eastAsia="宋体" w:cs="Times New Roman"/>
                <w:snapToGrid w:val="0"/>
                <w:kern w:val="0"/>
                <w:szCs w:val="32"/>
                <w:u w:val="single"/>
                <w:lang w:val="zh-CN"/>
              </w:rPr>
              <w:t>见《招标公告》中“投标人资格要求”部分的相关内容</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20" w:hRule="atLeast"/>
          <w:jc w:val="center"/>
        </w:trPr>
        <w:tc>
          <w:tcPr>
            <w:tcW w:w="807" w:type="dxa"/>
            <w:vAlign w:val="center"/>
          </w:tcPr>
          <w:p>
            <w:pPr>
              <w:jc w:val="center"/>
              <w:rPr>
                <w:rFonts w:ascii="宋体" w:hAnsi="宋体" w:eastAsia="宋体" w:cs="Times New Roman"/>
                <w:szCs w:val="24"/>
              </w:rPr>
            </w:pPr>
            <w:r>
              <w:rPr>
                <w:rFonts w:hint="eastAsia" w:ascii="宋体" w:hAnsi="宋体" w:eastAsia="宋体" w:cs="Times New Roman"/>
                <w:szCs w:val="24"/>
              </w:rPr>
              <w:t>2</w:t>
            </w:r>
          </w:p>
        </w:tc>
        <w:tc>
          <w:tcPr>
            <w:tcW w:w="2160" w:type="dxa"/>
            <w:vAlign w:val="center"/>
          </w:tcPr>
          <w:p>
            <w:pPr>
              <w:rPr>
                <w:rFonts w:ascii="宋体" w:hAnsi="宋体" w:eastAsia="宋体" w:cs="Times New Roman"/>
                <w:szCs w:val="24"/>
              </w:rPr>
            </w:pPr>
            <w:r>
              <w:rPr>
                <w:rFonts w:hint="eastAsia" w:ascii="宋体" w:hAnsi="宋体" w:eastAsia="宋体" w:cs="Times New Roman"/>
                <w:szCs w:val="24"/>
              </w:rPr>
              <w:t>投标有效期</w:t>
            </w:r>
          </w:p>
        </w:tc>
        <w:tc>
          <w:tcPr>
            <w:tcW w:w="5400" w:type="dxa"/>
            <w:vAlign w:val="center"/>
          </w:tcPr>
          <w:p>
            <w:pPr>
              <w:rPr>
                <w:rFonts w:ascii="宋体" w:hAnsi="宋体" w:eastAsia="宋体" w:cs="Times New Roman"/>
                <w:szCs w:val="24"/>
              </w:rPr>
            </w:pPr>
            <w:r>
              <w:rPr>
                <w:rFonts w:hint="eastAsia" w:ascii="宋体" w:hAnsi="宋体" w:eastAsia="宋体" w:cs="Times New Roman"/>
                <w:szCs w:val="24"/>
                <w:u w:val="single"/>
              </w:rPr>
              <w:t>90</w:t>
            </w:r>
            <w:r>
              <w:rPr>
                <w:rFonts w:ascii="宋体" w:hAnsi="宋体" w:eastAsia="宋体" w:cs="Times New Roman"/>
                <w:szCs w:val="24"/>
                <w:u w:val="single"/>
              </w:rPr>
              <w:t>日历天</w:t>
            </w:r>
            <w:r>
              <w:rPr>
                <w:rFonts w:ascii="宋体" w:hAnsi="宋体" w:eastAsia="宋体" w:cs="Times New Roman"/>
                <w:szCs w:val="24"/>
              </w:rPr>
              <w:t>（从投标截止之日算起）</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20" w:hRule="atLeast"/>
          <w:jc w:val="center"/>
        </w:trPr>
        <w:tc>
          <w:tcPr>
            <w:tcW w:w="807" w:type="dxa"/>
            <w:vAlign w:val="center"/>
          </w:tcPr>
          <w:p>
            <w:pPr>
              <w:jc w:val="center"/>
              <w:rPr>
                <w:rFonts w:ascii="宋体" w:hAnsi="宋体" w:eastAsia="宋体" w:cs="Times New Roman"/>
                <w:szCs w:val="24"/>
              </w:rPr>
            </w:pPr>
            <w:r>
              <w:rPr>
                <w:rFonts w:hint="eastAsia" w:ascii="宋体" w:hAnsi="宋体" w:eastAsia="宋体" w:cs="Times New Roman"/>
                <w:szCs w:val="24"/>
              </w:rPr>
              <w:t>3</w:t>
            </w:r>
          </w:p>
        </w:tc>
        <w:tc>
          <w:tcPr>
            <w:tcW w:w="2160" w:type="dxa"/>
            <w:vAlign w:val="center"/>
          </w:tcPr>
          <w:p>
            <w:pPr>
              <w:rPr>
                <w:rFonts w:ascii="宋体" w:hAnsi="宋体" w:eastAsia="宋体" w:cs="Times New Roman"/>
                <w:szCs w:val="24"/>
              </w:rPr>
            </w:pPr>
            <w:r>
              <w:rPr>
                <w:rFonts w:hint="eastAsia" w:ascii="宋体" w:hAnsi="宋体" w:eastAsia="宋体" w:cs="Times New Roman"/>
                <w:szCs w:val="24"/>
              </w:rPr>
              <w:t>投标人的替代方案</w:t>
            </w:r>
          </w:p>
        </w:tc>
        <w:tc>
          <w:tcPr>
            <w:tcW w:w="5400" w:type="dxa"/>
            <w:vAlign w:val="center"/>
          </w:tcPr>
          <w:p>
            <w:pPr>
              <w:rPr>
                <w:rFonts w:ascii="宋体" w:hAnsi="宋体" w:eastAsia="宋体" w:cs="Times New Roman"/>
                <w:szCs w:val="24"/>
              </w:rPr>
            </w:pPr>
            <w:r>
              <w:rPr>
                <w:rFonts w:hint="eastAsia" w:ascii="宋体" w:hAnsi="宋体" w:eastAsia="宋体" w:cs="Times New Roman"/>
                <w:szCs w:val="24"/>
              </w:rPr>
              <w:t>不允许</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20" w:hRule="atLeast"/>
          <w:jc w:val="center"/>
        </w:trPr>
        <w:tc>
          <w:tcPr>
            <w:tcW w:w="807" w:type="dxa"/>
            <w:vAlign w:val="center"/>
          </w:tcPr>
          <w:p>
            <w:pPr>
              <w:jc w:val="center"/>
              <w:rPr>
                <w:rFonts w:ascii="宋体" w:hAnsi="宋体" w:eastAsia="宋体" w:cs="Times New Roman"/>
                <w:szCs w:val="24"/>
              </w:rPr>
            </w:pPr>
            <w:r>
              <w:rPr>
                <w:rFonts w:hint="eastAsia" w:ascii="宋体" w:hAnsi="宋体" w:eastAsia="宋体" w:cs="Times New Roman"/>
                <w:szCs w:val="24"/>
              </w:rPr>
              <w:t>4</w:t>
            </w:r>
          </w:p>
        </w:tc>
        <w:tc>
          <w:tcPr>
            <w:tcW w:w="2160" w:type="dxa"/>
            <w:vAlign w:val="center"/>
          </w:tcPr>
          <w:p>
            <w:pPr>
              <w:rPr>
                <w:rFonts w:ascii="宋体" w:hAnsi="宋体" w:eastAsia="宋体" w:cs="Times New Roman"/>
                <w:szCs w:val="24"/>
              </w:rPr>
            </w:pPr>
            <w:r>
              <w:rPr>
                <w:rFonts w:hint="eastAsia" w:ascii="宋体" w:hAnsi="宋体" w:eastAsia="宋体" w:cs="Times New Roman"/>
                <w:szCs w:val="24"/>
              </w:rPr>
              <w:t>投标文件的投递</w:t>
            </w:r>
          </w:p>
        </w:tc>
        <w:tc>
          <w:tcPr>
            <w:tcW w:w="5400" w:type="dxa"/>
            <w:vAlign w:val="center"/>
          </w:tcPr>
          <w:p>
            <w:pPr>
              <w:rPr>
                <w:rFonts w:ascii="宋体" w:hAnsi="宋体" w:eastAsia="宋体" w:cs="Times New Roman"/>
                <w:szCs w:val="24"/>
              </w:rPr>
            </w:pPr>
            <w:r>
              <w:rPr>
                <w:rFonts w:hint="eastAsia" w:ascii="宋体" w:hAnsi="宋体" w:eastAsia="宋体" w:cs="Times New Roman"/>
                <w:szCs w:val="24"/>
              </w:rPr>
              <w:t xml:space="preserve">投标人必须在招标文件规定的投标截止时间前将密封的投标文件递送到深圳大学总医院招投标管理办公室   </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20" w:hRule="atLeast"/>
          <w:jc w:val="center"/>
        </w:trPr>
        <w:tc>
          <w:tcPr>
            <w:tcW w:w="807" w:type="dxa"/>
            <w:tcBorders>
              <w:top w:val="single" w:color="auto" w:sz="6" w:space="0"/>
              <w:left w:val="double" w:color="auto" w:sz="4" w:space="0"/>
              <w:bottom w:val="single" w:color="auto" w:sz="6" w:space="0"/>
              <w:right w:val="single" w:color="auto" w:sz="6" w:space="0"/>
            </w:tcBorders>
            <w:vAlign w:val="center"/>
          </w:tcPr>
          <w:p>
            <w:pPr>
              <w:jc w:val="center"/>
              <w:rPr>
                <w:rFonts w:ascii="宋体" w:hAnsi="宋体" w:eastAsia="宋体" w:cs="Times New Roman"/>
                <w:szCs w:val="24"/>
              </w:rPr>
            </w:pPr>
            <w:r>
              <w:rPr>
                <w:rFonts w:hint="eastAsia" w:ascii="宋体" w:hAnsi="宋体" w:eastAsia="宋体" w:cs="Times New Roman"/>
                <w:szCs w:val="24"/>
              </w:rPr>
              <w:t>5</w:t>
            </w:r>
          </w:p>
        </w:tc>
        <w:tc>
          <w:tcPr>
            <w:tcW w:w="2160" w:type="dxa"/>
            <w:tcBorders>
              <w:top w:val="single" w:color="auto" w:sz="6" w:space="0"/>
              <w:left w:val="single" w:color="auto" w:sz="6" w:space="0"/>
              <w:bottom w:val="single" w:color="auto" w:sz="6" w:space="0"/>
              <w:right w:val="single" w:color="auto" w:sz="6" w:space="0"/>
            </w:tcBorders>
            <w:vAlign w:val="center"/>
          </w:tcPr>
          <w:p>
            <w:pPr>
              <w:rPr>
                <w:rFonts w:ascii="宋体" w:hAnsi="宋体" w:eastAsia="宋体" w:cs="Times New Roman"/>
                <w:szCs w:val="24"/>
              </w:rPr>
            </w:pPr>
            <w:r>
              <w:rPr>
                <w:rFonts w:hint="eastAsia" w:ascii="宋体" w:hAnsi="宋体" w:eastAsia="宋体" w:cs="Times New Roman"/>
                <w:szCs w:val="24"/>
              </w:rPr>
              <w:t>履约担保金额</w:t>
            </w:r>
          </w:p>
        </w:tc>
        <w:tc>
          <w:tcPr>
            <w:tcW w:w="5400" w:type="dxa"/>
            <w:tcBorders>
              <w:top w:val="single" w:color="auto" w:sz="6" w:space="0"/>
              <w:left w:val="single" w:color="auto" w:sz="6" w:space="0"/>
              <w:bottom w:val="single" w:color="auto" w:sz="6" w:space="0"/>
              <w:right w:val="double" w:color="auto" w:sz="4" w:space="0"/>
            </w:tcBorders>
            <w:vAlign w:val="center"/>
          </w:tcPr>
          <w:p>
            <w:pPr>
              <w:rPr>
                <w:rFonts w:ascii="宋体" w:hAnsi="宋体" w:eastAsia="宋体" w:cs="Times New Roman"/>
                <w:szCs w:val="24"/>
              </w:rPr>
            </w:pPr>
            <w:r>
              <w:rPr>
                <w:rFonts w:hint="eastAsia" w:ascii="宋体" w:hAnsi="宋体" w:eastAsia="宋体" w:cs="Times New Roman"/>
                <w:szCs w:val="24"/>
              </w:rPr>
              <w:t>无</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20" w:hRule="atLeast"/>
          <w:jc w:val="center"/>
        </w:trPr>
        <w:tc>
          <w:tcPr>
            <w:tcW w:w="807" w:type="dxa"/>
            <w:tcBorders>
              <w:top w:val="single" w:color="auto" w:sz="6" w:space="0"/>
              <w:left w:val="double" w:color="auto" w:sz="4" w:space="0"/>
              <w:bottom w:val="single" w:color="auto" w:sz="6" w:space="0"/>
              <w:right w:val="single" w:color="auto" w:sz="6" w:space="0"/>
            </w:tcBorders>
            <w:vAlign w:val="center"/>
          </w:tcPr>
          <w:p>
            <w:pPr>
              <w:jc w:val="center"/>
              <w:rPr>
                <w:rFonts w:ascii="宋体" w:hAnsi="宋体" w:eastAsia="宋体" w:cs="Times New Roman"/>
                <w:szCs w:val="24"/>
              </w:rPr>
            </w:pPr>
            <w:r>
              <w:rPr>
                <w:rFonts w:hint="eastAsia" w:ascii="宋体" w:hAnsi="宋体" w:eastAsia="宋体" w:cs="Times New Roman"/>
                <w:szCs w:val="24"/>
              </w:rPr>
              <w:t>6</w:t>
            </w:r>
          </w:p>
        </w:tc>
        <w:tc>
          <w:tcPr>
            <w:tcW w:w="2160" w:type="dxa"/>
            <w:tcBorders>
              <w:top w:val="single" w:color="auto" w:sz="6" w:space="0"/>
              <w:left w:val="single" w:color="auto" w:sz="6" w:space="0"/>
              <w:bottom w:val="single" w:color="auto" w:sz="6" w:space="0"/>
              <w:right w:val="single" w:color="auto" w:sz="6" w:space="0"/>
            </w:tcBorders>
            <w:vAlign w:val="center"/>
          </w:tcPr>
          <w:p>
            <w:pPr>
              <w:rPr>
                <w:rFonts w:ascii="宋体" w:hAnsi="宋体" w:eastAsia="宋体" w:cs="Times New Roman"/>
                <w:szCs w:val="24"/>
              </w:rPr>
            </w:pPr>
            <w:r>
              <w:rPr>
                <w:rFonts w:hint="eastAsia" w:ascii="宋体" w:hAnsi="宋体" w:eastAsia="宋体" w:cs="Times New Roman"/>
                <w:szCs w:val="24"/>
              </w:rPr>
              <w:t>投标文件</w:t>
            </w:r>
          </w:p>
        </w:tc>
        <w:tc>
          <w:tcPr>
            <w:tcW w:w="5400" w:type="dxa"/>
            <w:tcBorders>
              <w:top w:val="single" w:color="auto" w:sz="6" w:space="0"/>
              <w:left w:val="single" w:color="auto" w:sz="6" w:space="0"/>
              <w:bottom w:val="single" w:color="auto" w:sz="6" w:space="0"/>
              <w:right w:val="double" w:color="auto" w:sz="4" w:space="0"/>
            </w:tcBorders>
            <w:vAlign w:val="center"/>
          </w:tcPr>
          <w:p>
            <w:pPr>
              <w:adjustRightInd w:val="0"/>
              <w:snapToGrid w:val="0"/>
              <w:spacing w:line="360" w:lineRule="auto"/>
              <w:jc w:val="left"/>
              <w:rPr>
                <w:szCs w:val="21"/>
              </w:rPr>
            </w:pPr>
            <w:r>
              <w:rPr>
                <w:rFonts w:hint="eastAsia"/>
                <w:szCs w:val="21"/>
              </w:rPr>
              <w:t>投标文件</w:t>
            </w:r>
            <w:r>
              <w:rPr>
                <w:rFonts w:hint="eastAsia"/>
                <w:color w:val="FF0000"/>
                <w:szCs w:val="21"/>
                <w:highlight w:val="yellow"/>
              </w:rPr>
              <w:t>正本 一 份，副本 四 份</w:t>
            </w:r>
            <w:r>
              <w:rPr>
                <w:rFonts w:hint="eastAsia"/>
                <w:szCs w:val="21"/>
              </w:rPr>
              <w:t>，份数不足按废标处理。</w:t>
            </w:r>
          </w:p>
          <w:p>
            <w:pPr>
              <w:adjustRightInd w:val="0"/>
              <w:snapToGrid w:val="0"/>
              <w:spacing w:line="360" w:lineRule="auto"/>
              <w:jc w:val="left"/>
              <w:rPr>
                <w:szCs w:val="21"/>
              </w:rPr>
            </w:pPr>
            <w:r>
              <w:rPr>
                <w:rFonts w:hint="eastAsia"/>
                <w:szCs w:val="21"/>
              </w:rPr>
              <w:t>投标文件采用</w:t>
            </w:r>
            <w:r>
              <w:rPr>
                <w:rFonts w:hint="eastAsia"/>
                <w:b/>
                <w:bCs/>
                <w:color w:val="FF0000"/>
                <w:szCs w:val="21"/>
                <w:highlight w:val="yellow"/>
              </w:rPr>
              <w:t>A4版胶印装订，不得采用活页夹装订</w:t>
            </w:r>
            <w:r>
              <w:rPr>
                <w:rFonts w:hint="eastAsia"/>
                <w:szCs w:val="21"/>
              </w:rPr>
              <w:t>，投标文件中的任何一页不能是裁剪粘贴式的，否则按废标处理。</w:t>
            </w:r>
          </w:p>
          <w:p>
            <w:pPr>
              <w:rPr>
                <w:rFonts w:ascii="宋体" w:hAnsi="宋体" w:eastAsia="宋体" w:cs="Times New Roman"/>
                <w:szCs w:val="24"/>
              </w:rPr>
            </w:pPr>
            <w:r>
              <w:rPr>
                <w:rFonts w:hint="eastAsia"/>
                <w:color w:val="FF0000"/>
                <w:szCs w:val="21"/>
                <w:highlight w:val="yellow"/>
              </w:rPr>
              <w:t>需要将</w:t>
            </w:r>
            <w:r>
              <w:rPr>
                <w:rFonts w:hint="eastAsia"/>
                <w:b/>
                <w:bCs/>
                <w:color w:val="FF0000"/>
                <w:szCs w:val="21"/>
                <w:highlight w:val="yellow"/>
              </w:rPr>
              <w:t>《投标一览表》</w:t>
            </w:r>
            <w:r>
              <w:rPr>
                <w:rFonts w:hint="eastAsia"/>
                <w:color w:val="FF0000"/>
                <w:szCs w:val="21"/>
                <w:highlight w:val="yellow"/>
              </w:rPr>
              <w:t>另外再单独密封一份提交</w:t>
            </w:r>
            <w:r>
              <w:rPr>
                <w:rFonts w:hint="eastAsia"/>
                <w:szCs w:val="21"/>
              </w:rPr>
              <w:t>。</w:t>
            </w:r>
          </w:p>
        </w:tc>
      </w:tr>
    </w:tbl>
    <w:p>
      <w:pPr>
        <w:rPr>
          <w:rFonts w:ascii="Times New Roman" w:hAnsi="Times New Roman" w:eastAsia="宋体" w:cs="Times New Roman"/>
          <w:b/>
          <w:szCs w:val="24"/>
        </w:rPr>
      </w:pPr>
      <w:r>
        <w:rPr>
          <w:rFonts w:hint="eastAsia" w:ascii="Times New Roman" w:hAnsi="Times New Roman" w:eastAsia="宋体" w:cs="Times New Roman"/>
          <w:szCs w:val="21"/>
        </w:rPr>
        <w:t>备注：本表为通用条款相关内容的补充和明确，如与通用条款相冲突的以本表为准。</w:t>
      </w:r>
    </w:p>
    <w:p>
      <w:pPr>
        <w:rPr>
          <w:rFonts w:ascii="Times New Roman" w:hAnsi="Times New Roman" w:eastAsia="宋体" w:cs="Times New Roman"/>
          <w:b/>
          <w:szCs w:val="24"/>
        </w:rPr>
      </w:pPr>
    </w:p>
    <w:p>
      <w:pPr>
        <w:keepNext/>
        <w:keepLines/>
        <w:adjustRightInd w:val="0"/>
        <w:spacing w:before="231" w:beforeLines="50" w:after="231" w:afterLines="50"/>
        <w:jc w:val="center"/>
        <w:textAlignment w:val="baseline"/>
        <w:outlineLvl w:val="1"/>
        <w:rPr>
          <w:rFonts w:ascii="宋体" w:hAnsi="宋体" w:eastAsia="宋体" w:cs="宋体"/>
          <w:b/>
          <w:bCs/>
          <w:kern w:val="0"/>
          <w:sz w:val="28"/>
          <w:szCs w:val="28"/>
        </w:rPr>
      </w:pPr>
      <w:bookmarkStart w:id="17" w:name="_Toc128884461"/>
      <w:r>
        <w:rPr>
          <w:rFonts w:hint="eastAsia" w:ascii="宋体" w:hAnsi="宋体" w:eastAsia="宋体" w:cs="宋体"/>
          <w:b/>
          <w:bCs/>
          <w:kern w:val="0"/>
          <w:sz w:val="28"/>
          <w:szCs w:val="28"/>
        </w:rPr>
        <w:t>二、项目概况</w:t>
      </w:r>
      <w:bookmarkEnd w:id="17"/>
    </w:p>
    <w:p>
      <w:pPr>
        <w:ind w:firstLine="420" w:firstLineChars="200"/>
        <w:rPr>
          <w:rFonts w:ascii="宋体" w:hAnsi="宋体" w:eastAsia="宋体" w:cs="宋体"/>
          <w:kern w:val="0"/>
          <w:szCs w:val="21"/>
        </w:rPr>
      </w:pPr>
      <w:r>
        <w:rPr>
          <w:rFonts w:hint="eastAsia" w:ascii="宋体" w:hAnsi="宋体" w:eastAsia="宋体" w:cs="宋体"/>
          <w:kern w:val="0"/>
          <w:szCs w:val="21"/>
        </w:rPr>
        <w:t>目前各医院对辅助岗人员均实行劳务派遣用工模式，该模式有利于减少人事劳动纠纷，增强用人灵活性。我院计划购买劳务派遣用工服务，用于现有正式聘用辅助岗人员离职后通过劳务派遣用工补充。我院将按照政府采购相关规定，对该项目进行公开招标，遴选一家劳务派遣公司负责我院人员的人事关系管理。劳务派遣服务费用约100元-200元／人／月，该项目经费预算按450万元（人民币）定上限，其中全年管理服务费用支付上限为80,000.00元/年（人民币）。</w:t>
      </w:r>
    </w:p>
    <w:p>
      <w:pPr>
        <w:pStyle w:val="330"/>
        <w:spacing w:line="240" w:lineRule="auto"/>
        <w:ind w:firstLine="420"/>
        <w:rPr>
          <w:rFonts w:ascii="宋体" w:hAnsi="宋体" w:cs="宋体"/>
          <w:color w:val="000000"/>
          <w:kern w:val="2"/>
          <w:sz w:val="21"/>
          <w:szCs w:val="21"/>
          <w:lang w:eastAsia="zh-CN"/>
        </w:rPr>
      </w:pPr>
    </w:p>
    <w:p>
      <w:pPr>
        <w:keepNext/>
        <w:keepLines/>
        <w:numPr>
          <w:ilvl w:val="0"/>
          <w:numId w:val="15"/>
        </w:numPr>
        <w:adjustRightInd w:val="0"/>
        <w:spacing w:before="231" w:beforeLines="50" w:after="231" w:afterLines="50"/>
        <w:jc w:val="center"/>
        <w:textAlignment w:val="baseline"/>
        <w:outlineLvl w:val="1"/>
        <w:rPr>
          <w:rFonts w:ascii="宋体" w:hAnsi="宋体"/>
          <w:b/>
          <w:bCs/>
          <w:kern w:val="0"/>
          <w:sz w:val="28"/>
          <w:szCs w:val="28"/>
        </w:rPr>
      </w:pPr>
      <w:r>
        <w:rPr>
          <w:rFonts w:hint="eastAsia" w:ascii="宋体" w:hAnsi="宋体"/>
          <w:b/>
          <w:bCs/>
          <w:kern w:val="0"/>
          <w:sz w:val="28"/>
          <w:szCs w:val="28"/>
        </w:rPr>
        <w:t>项目内容及技术要求</w:t>
      </w:r>
    </w:p>
    <w:p>
      <w:pPr>
        <w:rPr>
          <w:rFonts w:ascii="宋体" w:hAnsi="宋体"/>
          <w:b/>
          <w:sz w:val="22"/>
        </w:rPr>
      </w:pPr>
      <w:r>
        <w:rPr>
          <w:rFonts w:hint="eastAsia" w:ascii="宋体" w:hAnsi="宋体"/>
          <w:b/>
          <w:sz w:val="22"/>
          <w:lang w:bidi="ar"/>
        </w:rPr>
        <w:t>一、项目服务内容及要求</w:t>
      </w:r>
    </w:p>
    <w:p>
      <w:pPr>
        <w:ind w:firstLine="420" w:firstLineChars="200"/>
        <w:rPr>
          <w:rFonts w:ascii="宋体" w:hAnsi="宋体" w:eastAsia="宋体" w:cs="宋体"/>
          <w:kern w:val="0"/>
          <w:szCs w:val="21"/>
        </w:rPr>
      </w:pPr>
      <w:r>
        <w:rPr>
          <w:rFonts w:hint="eastAsia" w:ascii="宋体" w:hAnsi="宋体" w:eastAsia="宋体" w:cs="宋体"/>
          <w:kern w:val="0"/>
          <w:szCs w:val="21"/>
        </w:rPr>
        <w:t>（一）中标服务商负责劳务派遣工作，在采购方提出用人需求后30日内按医院要求提供相关人员，劳务派遣服务人员按照医院规章制度和相关岗位职责，有效开展工作。</w:t>
      </w:r>
    </w:p>
    <w:p>
      <w:pPr>
        <w:ind w:firstLine="420" w:firstLineChars="200"/>
        <w:rPr>
          <w:rFonts w:ascii="宋体" w:hAnsi="宋体" w:eastAsia="宋体" w:cs="宋体"/>
          <w:kern w:val="0"/>
          <w:szCs w:val="21"/>
        </w:rPr>
      </w:pPr>
      <w:r>
        <w:rPr>
          <w:rFonts w:hint="eastAsia" w:ascii="宋体" w:hAnsi="宋体" w:eastAsia="宋体" w:cs="宋体"/>
          <w:kern w:val="0"/>
          <w:szCs w:val="21"/>
        </w:rPr>
        <w:t>（二）如受聘者在3个月内表现不佳造成相关科室或部门受到严重影响，科室或部门要求退回劳务派遣人员，中标商不得收取本次服务费。</w:t>
      </w:r>
    </w:p>
    <w:p>
      <w:pPr>
        <w:ind w:firstLine="420" w:firstLineChars="200"/>
        <w:rPr>
          <w:rFonts w:ascii="宋体" w:hAnsi="宋体" w:eastAsia="宋体" w:cs="宋体"/>
          <w:kern w:val="0"/>
          <w:szCs w:val="21"/>
        </w:rPr>
      </w:pPr>
      <w:r>
        <w:rPr>
          <w:rFonts w:hint="eastAsia" w:ascii="宋体" w:hAnsi="宋体" w:eastAsia="宋体" w:cs="宋体"/>
          <w:kern w:val="0"/>
          <w:szCs w:val="21"/>
        </w:rPr>
        <w:t>（三）中标服务商负责所有劳务派遣服务人员的人事、劳资、社会保险、住房公积金、计生等人事劳资管理工作，并为劳务派遣服务人员办理劳动用工手续、结算发放工资、缴纳社会保险、住房公积金、处理保险理赔、发放经济补偿金、管理人事档案等方面的管理服务。</w:t>
      </w:r>
    </w:p>
    <w:p>
      <w:pPr>
        <w:ind w:firstLine="420" w:firstLineChars="200"/>
        <w:rPr>
          <w:rFonts w:ascii="宋体" w:hAnsi="宋体" w:eastAsia="宋体" w:cs="宋体"/>
          <w:kern w:val="0"/>
          <w:szCs w:val="21"/>
        </w:rPr>
      </w:pPr>
      <w:r>
        <w:rPr>
          <w:rFonts w:hint="eastAsia" w:ascii="宋体" w:hAnsi="宋体" w:eastAsia="宋体" w:cs="宋体"/>
          <w:kern w:val="0"/>
          <w:szCs w:val="21"/>
        </w:rPr>
        <w:t>（四）中标服务商负责按照合同约定时间和经医院核准的发放标准，向全体劳务派遣服务人员按时发放工资和其他薪酬。非经医院的书面通知，不得扣发劳务派遣服务人员工资和其他薪酬，不得缩减或变更劳务派遣服务人员社会保险、住房公积金等的缴付金额和险种。</w:t>
      </w:r>
    </w:p>
    <w:p>
      <w:pPr>
        <w:ind w:firstLine="420" w:firstLineChars="200"/>
        <w:rPr>
          <w:rFonts w:ascii="宋体" w:hAnsi="宋体" w:eastAsia="宋体" w:cs="宋体"/>
          <w:kern w:val="0"/>
          <w:szCs w:val="21"/>
        </w:rPr>
      </w:pPr>
      <w:r>
        <w:rPr>
          <w:rFonts w:hint="eastAsia" w:ascii="宋体" w:hAnsi="宋体" w:eastAsia="宋体" w:cs="宋体"/>
          <w:kern w:val="0"/>
          <w:szCs w:val="21"/>
        </w:rPr>
        <w:t>（五）劳务派遣服务人员有以下情形之一的，采购方可立即通知并退回中标服务商：</w:t>
      </w:r>
    </w:p>
    <w:p>
      <w:pPr>
        <w:ind w:firstLine="420" w:firstLineChars="200"/>
        <w:rPr>
          <w:rFonts w:ascii="宋体" w:hAnsi="宋体" w:eastAsia="宋体" w:cs="宋体"/>
          <w:kern w:val="0"/>
          <w:szCs w:val="21"/>
        </w:rPr>
      </w:pPr>
      <w:r>
        <w:rPr>
          <w:rFonts w:hint="eastAsia" w:ascii="宋体" w:hAnsi="宋体" w:eastAsia="宋体" w:cs="宋体"/>
          <w:kern w:val="0"/>
          <w:szCs w:val="21"/>
        </w:rPr>
        <w:t>1.员工身体健康状况不能适应岗位要求的；</w:t>
      </w:r>
    </w:p>
    <w:p>
      <w:pPr>
        <w:ind w:firstLine="420" w:firstLineChars="200"/>
        <w:rPr>
          <w:rFonts w:ascii="宋体" w:hAnsi="宋体" w:eastAsia="宋体" w:cs="宋体"/>
          <w:kern w:val="0"/>
          <w:szCs w:val="21"/>
        </w:rPr>
      </w:pPr>
      <w:r>
        <w:rPr>
          <w:rFonts w:hint="eastAsia" w:ascii="宋体" w:hAnsi="宋体" w:eastAsia="宋体" w:cs="宋体"/>
          <w:kern w:val="0"/>
          <w:szCs w:val="21"/>
        </w:rPr>
        <w:t xml:space="preserve">2.严重违反采购单位劳动纪律、规章制度的； </w:t>
      </w:r>
    </w:p>
    <w:p>
      <w:pPr>
        <w:ind w:firstLine="420" w:firstLineChars="200"/>
        <w:rPr>
          <w:rFonts w:ascii="宋体" w:hAnsi="宋体" w:eastAsia="宋体" w:cs="宋体"/>
          <w:kern w:val="0"/>
          <w:szCs w:val="21"/>
        </w:rPr>
      </w:pPr>
      <w:r>
        <w:rPr>
          <w:rFonts w:hint="eastAsia" w:ascii="宋体" w:hAnsi="宋体" w:eastAsia="宋体" w:cs="宋体"/>
          <w:kern w:val="0"/>
          <w:szCs w:val="21"/>
        </w:rPr>
        <w:t>3.严重工作失职，营私舞弊，给医院造成经济损失的；</w:t>
      </w:r>
    </w:p>
    <w:p>
      <w:pPr>
        <w:ind w:firstLine="420" w:firstLineChars="200"/>
        <w:rPr>
          <w:rFonts w:ascii="宋体" w:hAnsi="宋体" w:eastAsia="宋体" w:cs="宋体"/>
          <w:kern w:val="0"/>
          <w:szCs w:val="21"/>
        </w:rPr>
      </w:pPr>
      <w:r>
        <w:rPr>
          <w:rFonts w:hint="eastAsia" w:ascii="宋体" w:hAnsi="宋体" w:eastAsia="宋体" w:cs="宋体"/>
          <w:kern w:val="0"/>
          <w:szCs w:val="21"/>
        </w:rPr>
        <w:t>4.被依法追究刑事责任的。</w:t>
      </w:r>
    </w:p>
    <w:p>
      <w:pPr>
        <w:ind w:firstLine="420" w:firstLineChars="200"/>
        <w:rPr>
          <w:rFonts w:ascii="宋体" w:hAnsi="宋体" w:eastAsia="宋体" w:cs="宋体"/>
          <w:kern w:val="0"/>
          <w:szCs w:val="21"/>
        </w:rPr>
      </w:pPr>
      <w:r>
        <w:rPr>
          <w:rFonts w:hint="eastAsia" w:ascii="宋体" w:hAnsi="宋体" w:eastAsia="宋体" w:cs="宋体"/>
          <w:kern w:val="0"/>
          <w:szCs w:val="21"/>
        </w:rPr>
        <w:t>（六）中标服务商应依法与派遣员工签订或续签劳动合同,劳动合同内容不得违反国家法律、法规。对于因医院过错未满服务期提前解除派遣员工劳动合同的，医院支付一个月薪酬作为补偿金，医院支付给中标服务商。派遣员工服务期满后，医院如将员工退回不承担任何补偿或赔偿费用。中标服务商与派遣员工因为劳动合同签订或变更发生经济补偿或赔偿费用，由中标服务商负责。</w:t>
      </w:r>
    </w:p>
    <w:p>
      <w:pPr>
        <w:ind w:firstLine="420" w:firstLineChars="200"/>
        <w:rPr>
          <w:rFonts w:ascii="宋体" w:hAnsi="宋体" w:eastAsia="宋体" w:cs="宋体"/>
          <w:kern w:val="0"/>
          <w:szCs w:val="21"/>
        </w:rPr>
      </w:pPr>
      <w:r>
        <w:rPr>
          <w:rFonts w:hint="eastAsia" w:ascii="宋体" w:hAnsi="宋体" w:eastAsia="宋体" w:cs="宋体"/>
          <w:kern w:val="0"/>
          <w:szCs w:val="21"/>
        </w:rPr>
        <w:t>（七）所有劳务派遣服务人员必须服从医院的工作安排；对不合格的人员，采购方有权要求调换不适合相关工作的劳务派遣服务人员，中标服务商应在5个工作日内更换，保证医院的正常工作。</w:t>
      </w:r>
    </w:p>
    <w:p>
      <w:pPr>
        <w:ind w:firstLine="420" w:firstLineChars="200"/>
        <w:rPr>
          <w:rFonts w:ascii="宋体" w:hAnsi="宋体" w:eastAsia="宋体" w:cs="宋体"/>
          <w:kern w:val="0"/>
          <w:szCs w:val="21"/>
        </w:rPr>
      </w:pPr>
      <w:r>
        <w:rPr>
          <w:rFonts w:hint="eastAsia" w:ascii="宋体" w:hAnsi="宋体" w:eastAsia="宋体" w:cs="宋体"/>
          <w:kern w:val="0"/>
          <w:szCs w:val="21"/>
        </w:rPr>
        <w:t>（八）所有劳务派遣服务人员需进行岗前培训并由采购方面试通过后方可上岗。定期开展服务质量教育和安全生产教育，使所有劳务派遣服务人员树立标准化观念、专业化观念，坚持安全生产的理念，不断提高劳务派遣服务人员的工作责任心并改善其工作态度。</w:t>
      </w:r>
    </w:p>
    <w:p>
      <w:pPr>
        <w:ind w:firstLine="420" w:firstLineChars="200"/>
        <w:rPr>
          <w:rFonts w:ascii="宋体" w:hAnsi="宋体" w:eastAsia="宋体" w:cs="宋体"/>
          <w:kern w:val="0"/>
          <w:szCs w:val="21"/>
        </w:rPr>
      </w:pPr>
      <w:r>
        <w:rPr>
          <w:rFonts w:hint="eastAsia" w:ascii="宋体" w:hAnsi="宋体" w:eastAsia="宋体" w:cs="宋体"/>
          <w:kern w:val="0"/>
          <w:szCs w:val="21"/>
        </w:rPr>
        <w:t>（九）投标供应商必须做出如下书面承诺：</w:t>
      </w:r>
    </w:p>
    <w:p>
      <w:pPr>
        <w:ind w:firstLine="420" w:firstLineChars="200"/>
        <w:rPr>
          <w:rFonts w:ascii="宋体" w:hAnsi="宋体" w:eastAsia="宋体" w:cs="宋体"/>
          <w:kern w:val="0"/>
          <w:szCs w:val="21"/>
        </w:rPr>
      </w:pPr>
      <w:r>
        <w:rPr>
          <w:rFonts w:hint="eastAsia" w:ascii="宋体" w:hAnsi="宋体" w:eastAsia="宋体" w:cs="宋体"/>
          <w:kern w:val="0"/>
          <w:szCs w:val="21"/>
        </w:rPr>
        <w:t xml:space="preserve">1.承担劳务派遣服务人员入离职、薪酬福利、社保、住房公积金、工伤等劳动关系手续办理。 </w:t>
      </w:r>
    </w:p>
    <w:p>
      <w:pPr>
        <w:ind w:firstLine="420" w:firstLineChars="200"/>
        <w:rPr>
          <w:rFonts w:ascii="宋体" w:hAnsi="宋体" w:eastAsia="宋体" w:cs="宋体"/>
          <w:kern w:val="0"/>
          <w:szCs w:val="21"/>
        </w:rPr>
      </w:pPr>
      <w:r>
        <w:rPr>
          <w:rFonts w:hint="eastAsia" w:ascii="宋体" w:hAnsi="宋体" w:eastAsia="宋体" w:cs="宋体"/>
          <w:kern w:val="0"/>
          <w:szCs w:val="21"/>
        </w:rPr>
        <w:t>2.出现意外情况时，接到采购方电话，一般情况时≤3小时响应，紧急情况时≤1小时响应。</w:t>
      </w:r>
    </w:p>
    <w:p>
      <w:pPr>
        <w:ind w:firstLine="420" w:firstLineChars="200"/>
        <w:rPr>
          <w:rFonts w:ascii="宋体" w:hAnsi="宋体" w:eastAsia="宋体" w:cs="宋体"/>
          <w:kern w:val="0"/>
          <w:szCs w:val="21"/>
        </w:rPr>
      </w:pPr>
      <w:r>
        <w:rPr>
          <w:rFonts w:hint="eastAsia" w:ascii="宋体" w:hAnsi="宋体" w:eastAsia="宋体" w:cs="宋体"/>
          <w:kern w:val="0"/>
          <w:szCs w:val="21"/>
        </w:rPr>
        <w:t>3.承担员工招聘、培训。</w:t>
      </w:r>
    </w:p>
    <w:p>
      <w:pPr>
        <w:ind w:firstLine="420" w:firstLineChars="200"/>
        <w:rPr>
          <w:rFonts w:ascii="宋体" w:hAnsi="宋体" w:eastAsia="宋体" w:cs="宋体"/>
          <w:kern w:val="0"/>
          <w:szCs w:val="21"/>
        </w:rPr>
      </w:pPr>
      <w:r>
        <w:rPr>
          <w:rFonts w:hint="eastAsia" w:ascii="宋体" w:hAnsi="宋体" w:eastAsia="宋体" w:cs="宋体"/>
          <w:kern w:val="0"/>
          <w:szCs w:val="21"/>
        </w:rPr>
        <w:t>4.采购方提出用人需求后30日内按采购方要求提供相关岗位人员。</w:t>
      </w:r>
    </w:p>
    <w:p>
      <w:pPr>
        <w:ind w:firstLine="420" w:firstLineChars="200"/>
        <w:rPr>
          <w:rFonts w:ascii="宋体" w:hAnsi="宋体" w:eastAsia="宋体" w:cs="宋体"/>
          <w:kern w:val="0"/>
          <w:szCs w:val="21"/>
        </w:rPr>
      </w:pPr>
      <w:r>
        <w:rPr>
          <w:rFonts w:hint="eastAsia" w:ascii="宋体" w:hAnsi="宋体" w:eastAsia="宋体" w:cs="宋体"/>
          <w:kern w:val="0"/>
          <w:szCs w:val="21"/>
        </w:rPr>
        <w:t>5.中标服务商全面负责劳务派遣人员的劳务纠纷处理，处理涉及劳动关系的所有事宜。</w:t>
      </w:r>
    </w:p>
    <w:p>
      <w:pPr>
        <w:ind w:firstLine="420" w:firstLineChars="200"/>
        <w:rPr>
          <w:rFonts w:ascii="宋体" w:hAnsi="宋体" w:eastAsia="宋体" w:cs="宋体"/>
          <w:kern w:val="0"/>
          <w:szCs w:val="21"/>
        </w:rPr>
      </w:pPr>
      <w:r>
        <w:rPr>
          <w:rFonts w:hint="eastAsia" w:ascii="宋体" w:hAnsi="宋体" w:eastAsia="宋体" w:cs="宋体"/>
          <w:kern w:val="0"/>
          <w:szCs w:val="21"/>
        </w:rPr>
        <w:t>6.劳务派遣人员发生工伤事故的，中标服务商接到采购方通知后，按相关保险条例妥善处理，并负责办理申报和理赔事宜。</w:t>
      </w:r>
    </w:p>
    <w:p>
      <w:pPr>
        <w:ind w:firstLine="420" w:firstLineChars="200"/>
        <w:rPr>
          <w:rFonts w:ascii="宋体" w:hAnsi="宋体" w:eastAsia="宋体" w:cs="宋体"/>
          <w:kern w:val="0"/>
          <w:szCs w:val="21"/>
        </w:rPr>
      </w:pPr>
      <w:r>
        <w:rPr>
          <w:rFonts w:hint="eastAsia" w:ascii="宋体" w:hAnsi="宋体" w:eastAsia="宋体" w:cs="宋体"/>
          <w:kern w:val="0"/>
          <w:szCs w:val="21"/>
        </w:rPr>
        <w:t>7.全体劳务派遣人员工作时间由采购单位根据国家有关规定及实际工作需要具体安排。</w:t>
      </w:r>
    </w:p>
    <w:p>
      <w:pPr>
        <w:ind w:firstLine="420" w:firstLineChars="200"/>
        <w:rPr>
          <w:rFonts w:ascii="宋体" w:hAnsi="宋体" w:eastAsia="宋体" w:cs="宋体"/>
          <w:kern w:val="0"/>
          <w:szCs w:val="21"/>
        </w:rPr>
      </w:pPr>
    </w:p>
    <w:p>
      <w:pPr>
        <w:jc w:val="center"/>
        <w:rPr>
          <w:rFonts w:ascii="宋体" w:hAnsi="宋体"/>
          <w:b/>
          <w:bCs/>
          <w:kern w:val="0"/>
          <w:sz w:val="28"/>
          <w:szCs w:val="28"/>
        </w:rPr>
      </w:pPr>
    </w:p>
    <w:p>
      <w:pPr>
        <w:jc w:val="center"/>
        <w:rPr>
          <w:rFonts w:ascii="宋体" w:hAnsi="宋体"/>
          <w:b/>
          <w:bCs/>
          <w:kern w:val="0"/>
          <w:sz w:val="28"/>
          <w:szCs w:val="28"/>
        </w:rPr>
      </w:pPr>
      <w:r>
        <w:rPr>
          <w:rFonts w:hint="eastAsia" w:ascii="宋体" w:hAnsi="宋体"/>
          <w:b/>
          <w:bCs/>
          <w:kern w:val="0"/>
          <w:sz w:val="28"/>
          <w:szCs w:val="28"/>
        </w:rPr>
        <w:t>四、商务</w:t>
      </w:r>
      <w:r>
        <w:rPr>
          <w:rFonts w:ascii="宋体" w:hAnsi="宋体"/>
          <w:b/>
          <w:bCs/>
          <w:kern w:val="0"/>
          <w:sz w:val="28"/>
          <w:szCs w:val="28"/>
        </w:rPr>
        <w:t>需求</w:t>
      </w:r>
    </w:p>
    <w:p>
      <w:pPr>
        <w:ind w:firstLine="420" w:firstLineChars="200"/>
        <w:rPr>
          <w:rFonts w:ascii="宋体" w:hAnsi="宋体"/>
          <w:b/>
          <w:szCs w:val="21"/>
        </w:rPr>
      </w:pPr>
      <w:r>
        <w:rPr>
          <w:rFonts w:hint="eastAsia" w:ascii="宋体" w:hAnsi="宋体"/>
          <w:b/>
          <w:szCs w:val="21"/>
          <w:lang w:bidi="ar"/>
        </w:rPr>
        <w:t>（一）服务期限</w:t>
      </w:r>
    </w:p>
    <w:p>
      <w:pPr>
        <w:ind w:firstLine="420" w:firstLineChars="200"/>
        <w:rPr>
          <w:rFonts w:ascii="宋体" w:hAnsi="宋体" w:eastAsia="宋体" w:cs="宋体"/>
          <w:kern w:val="0"/>
          <w:szCs w:val="21"/>
          <w:lang w:val="zh-CN"/>
        </w:rPr>
      </w:pPr>
      <w:r>
        <w:rPr>
          <w:rFonts w:hint="eastAsia" w:ascii="宋体" w:hAnsi="宋体" w:eastAsia="宋体" w:cs="宋体"/>
          <w:kern w:val="0"/>
          <w:szCs w:val="21"/>
          <w:lang w:val="zh-CN"/>
        </w:rPr>
        <w:t>本次招标的中标服务期限为一年。</w:t>
      </w:r>
    </w:p>
    <w:p>
      <w:pPr>
        <w:ind w:firstLine="420" w:firstLineChars="200"/>
        <w:rPr>
          <w:rFonts w:ascii="宋体" w:hAnsi="宋体" w:eastAsia="宋体" w:cs="宋体"/>
          <w:kern w:val="0"/>
          <w:szCs w:val="21"/>
          <w:lang w:val="zh-CN"/>
        </w:rPr>
      </w:pPr>
      <w:r>
        <w:rPr>
          <w:rFonts w:hint="eastAsia" w:ascii="宋体" w:hAnsi="宋体" w:eastAsia="宋体" w:cs="宋体"/>
          <w:kern w:val="0"/>
          <w:szCs w:val="21"/>
          <w:lang w:val="zh-CN"/>
        </w:rPr>
        <w:t>采购单位可根据项目需要和中标服务商的履约情况确定是否续签服务合同。续签合同实质性内容与首次签约的实质性内容一致，最多续签2次合同，每次最长1年。总服务期最长不超过三年。</w:t>
      </w:r>
    </w:p>
    <w:p>
      <w:pPr>
        <w:adjustRightInd w:val="0"/>
        <w:snapToGrid w:val="0"/>
        <w:ind w:firstLine="420" w:firstLineChars="200"/>
        <w:jc w:val="left"/>
        <w:rPr>
          <w:szCs w:val="21"/>
        </w:rPr>
      </w:pPr>
    </w:p>
    <w:p>
      <w:pPr>
        <w:ind w:firstLine="420" w:firstLineChars="200"/>
        <w:rPr>
          <w:rFonts w:ascii="宋体" w:hAnsi="宋体"/>
          <w:b/>
          <w:szCs w:val="21"/>
        </w:rPr>
      </w:pPr>
      <w:r>
        <w:rPr>
          <w:rFonts w:hint="eastAsia" w:ascii="宋体" w:hAnsi="宋体"/>
          <w:b/>
          <w:szCs w:val="21"/>
          <w:lang w:bidi="ar"/>
        </w:rPr>
        <w:t>（二）付款方式</w:t>
      </w:r>
    </w:p>
    <w:p>
      <w:pPr>
        <w:ind w:firstLine="420" w:firstLineChars="200"/>
        <w:rPr>
          <w:rFonts w:ascii="宋体" w:hAnsi="宋体" w:eastAsia="宋体" w:cs="宋体"/>
          <w:kern w:val="0"/>
          <w:szCs w:val="21"/>
          <w:lang w:val="zh-CN"/>
        </w:rPr>
      </w:pPr>
      <w:r>
        <w:rPr>
          <w:rFonts w:hint="eastAsia" w:ascii="宋体" w:hAnsi="宋体" w:eastAsia="宋体" w:cs="宋体"/>
          <w:kern w:val="0"/>
          <w:szCs w:val="21"/>
          <w:lang w:val="zh-CN"/>
        </w:rPr>
        <w:t>按月支付，劳务派遣服务费每月与劳务派遣人员的薪酬等一起支付。</w:t>
      </w:r>
    </w:p>
    <w:p>
      <w:pPr>
        <w:ind w:firstLine="440" w:firstLineChars="200"/>
        <w:rPr>
          <w:rFonts w:ascii="宋体" w:hAnsi="宋体" w:cs="宋体"/>
          <w:color w:val="0000FF"/>
          <w:sz w:val="22"/>
        </w:rPr>
      </w:pPr>
    </w:p>
    <w:p>
      <w:pPr>
        <w:ind w:firstLine="420" w:firstLineChars="200"/>
        <w:rPr>
          <w:rFonts w:ascii="宋体" w:hAnsi="宋体"/>
          <w:b/>
          <w:szCs w:val="21"/>
          <w:lang w:bidi="ar"/>
        </w:rPr>
      </w:pPr>
      <w:r>
        <w:rPr>
          <w:rFonts w:hint="eastAsia" w:ascii="宋体" w:hAnsi="宋体"/>
          <w:b/>
          <w:szCs w:val="21"/>
          <w:lang w:bidi="ar"/>
        </w:rPr>
        <w:t>（三）验收要求</w:t>
      </w:r>
    </w:p>
    <w:p>
      <w:pPr>
        <w:ind w:firstLine="420" w:firstLineChars="200"/>
        <w:rPr>
          <w:rFonts w:ascii="宋体" w:hAnsi="宋体" w:eastAsia="宋体" w:cs="宋体"/>
          <w:kern w:val="0"/>
          <w:szCs w:val="21"/>
          <w:lang w:val="zh-CN"/>
        </w:rPr>
      </w:pPr>
      <w:r>
        <w:rPr>
          <w:rFonts w:hint="eastAsia" w:ascii="宋体" w:hAnsi="宋体" w:eastAsia="宋体" w:cs="宋体"/>
          <w:kern w:val="0"/>
          <w:szCs w:val="21"/>
          <w:lang w:val="zh-CN"/>
        </w:rPr>
        <w:t>依照本项目招标文件需求内容、签署的采购合同及中标人在投标中所作的一切投标响应进行验收。项目验收应达到全部指标合格：（1）中标人已按照合同规定提供了全部服务；（2）中标人提供的服务符合招标文件技术、商务要求。</w:t>
      </w:r>
    </w:p>
    <w:p>
      <w:pPr>
        <w:rPr>
          <w:rFonts w:ascii="宋体" w:hAnsi="宋体" w:cs="宋体"/>
          <w:color w:val="0000FF"/>
          <w:sz w:val="22"/>
        </w:rPr>
      </w:pPr>
    </w:p>
    <w:p>
      <w:pPr>
        <w:ind w:firstLine="435"/>
        <w:rPr>
          <w:lang w:bidi="ar"/>
        </w:rPr>
      </w:pPr>
    </w:p>
    <w:p>
      <w:pPr>
        <w:ind w:firstLine="420" w:firstLineChars="200"/>
        <w:rPr>
          <w:rFonts w:ascii="Arial" w:hAnsi="Arial" w:eastAsia="黑体"/>
          <w:b/>
          <w:sz w:val="24"/>
          <w:szCs w:val="20"/>
        </w:rPr>
      </w:pPr>
      <w:r>
        <w:rPr>
          <w:rFonts w:hint="eastAsia" w:ascii="宋体" w:hAnsi="宋体"/>
          <w:b/>
          <w:szCs w:val="21"/>
          <w:lang w:bidi="ar"/>
        </w:rPr>
        <w:t>（四）投标报价</w:t>
      </w:r>
    </w:p>
    <w:p>
      <w:pPr>
        <w:ind w:firstLine="420" w:firstLineChars="200"/>
        <w:rPr>
          <w:rFonts w:ascii="宋体" w:hAnsi="宋体" w:eastAsia="宋体" w:cs="宋体"/>
          <w:kern w:val="0"/>
          <w:szCs w:val="21"/>
          <w:lang w:val="zh-CN"/>
        </w:rPr>
      </w:pPr>
      <w:r>
        <w:rPr>
          <w:rFonts w:hint="eastAsia" w:ascii="宋体" w:hAnsi="宋体" w:eastAsia="宋体" w:cs="宋体"/>
          <w:kern w:val="0"/>
          <w:szCs w:val="21"/>
          <w:lang w:val="zh-CN"/>
        </w:rPr>
        <w:t>1、本项目服务费采用包干制，应包括服务成本、法定税费和企业的利润。由企业根据招标文件所提供的资料自行测算投标报价；一经中标，投标报价</w:t>
      </w:r>
      <w:r>
        <w:rPr>
          <w:rFonts w:hint="eastAsia" w:ascii="宋体" w:hAnsi="宋体" w:eastAsia="宋体" w:cs="宋体"/>
          <w:kern w:val="0"/>
          <w:szCs w:val="21"/>
        </w:rPr>
        <w:t>单</w:t>
      </w:r>
      <w:r>
        <w:rPr>
          <w:rFonts w:hint="eastAsia" w:ascii="宋体" w:hAnsi="宋体" w:eastAsia="宋体" w:cs="宋体"/>
          <w:kern w:val="0"/>
          <w:szCs w:val="21"/>
          <w:lang w:val="zh-CN"/>
        </w:rPr>
        <w:t>价作为中标单位与采购单位签定的合同金额，合同期限内不做调整；</w:t>
      </w:r>
    </w:p>
    <w:p>
      <w:pPr>
        <w:ind w:firstLine="420" w:firstLineChars="200"/>
        <w:rPr>
          <w:rFonts w:ascii="宋体" w:hAnsi="宋体" w:eastAsia="宋体" w:cs="宋体"/>
          <w:kern w:val="0"/>
          <w:szCs w:val="21"/>
          <w:lang w:val="zh-CN"/>
        </w:rPr>
      </w:pPr>
      <w:r>
        <w:rPr>
          <w:rFonts w:hint="eastAsia" w:ascii="宋体" w:hAnsi="宋体" w:eastAsia="宋体" w:cs="宋体"/>
          <w:kern w:val="0"/>
          <w:szCs w:val="21"/>
          <w:lang w:val="zh-CN"/>
        </w:rPr>
        <w:t>2、投标人应根据本企业的成本自行决定报价，但不得以低于其企业成本的报价投标；</w:t>
      </w:r>
    </w:p>
    <w:p>
      <w:pPr>
        <w:ind w:firstLine="420" w:firstLineChars="200"/>
        <w:rPr>
          <w:rFonts w:ascii="宋体" w:hAnsi="宋体" w:eastAsia="宋体" w:cs="宋体"/>
          <w:kern w:val="0"/>
          <w:szCs w:val="21"/>
          <w:lang w:val="zh-CN"/>
        </w:rPr>
      </w:pPr>
      <w:r>
        <w:rPr>
          <w:rFonts w:hint="eastAsia" w:ascii="宋体" w:hAnsi="宋体" w:eastAsia="宋体" w:cs="宋体"/>
          <w:kern w:val="0"/>
          <w:szCs w:val="21"/>
          <w:lang w:val="zh-CN"/>
        </w:rPr>
        <w:t>3、投标人的投标报价不得超过财政预算限额；本项目管理服务费支付上限为80,000.00元/12个月。</w:t>
      </w:r>
    </w:p>
    <w:p>
      <w:pPr>
        <w:ind w:firstLine="420" w:firstLineChars="200"/>
        <w:rPr>
          <w:rFonts w:ascii="宋体" w:hAnsi="宋体" w:eastAsia="宋体" w:cs="宋体"/>
          <w:kern w:val="0"/>
          <w:szCs w:val="21"/>
          <w:lang w:val="zh-CN"/>
        </w:rPr>
      </w:pPr>
      <w:r>
        <w:rPr>
          <w:rFonts w:hint="eastAsia" w:ascii="宋体" w:hAnsi="宋体" w:eastAsia="宋体" w:cs="宋体"/>
          <w:kern w:val="0"/>
          <w:szCs w:val="21"/>
          <w:lang w:val="zh-CN"/>
        </w:rPr>
        <w:t>4、投标人的投标报价，应是本项目招标范围和招标文件及合同条款上所列的各项内容中所述的全部，不得以任何理由予以重复，并以投标人在中提出的综合单价或总价为依据；</w:t>
      </w:r>
    </w:p>
    <w:p>
      <w:pPr>
        <w:ind w:firstLine="420" w:firstLineChars="200"/>
        <w:rPr>
          <w:rFonts w:ascii="宋体" w:hAnsi="宋体" w:eastAsia="宋体" w:cs="宋体"/>
          <w:kern w:val="0"/>
          <w:szCs w:val="21"/>
          <w:lang w:val="zh-CN"/>
        </w:rPr>
      </w:pPr>
      <w:r>
        <w:rPr>
          <w:rFonts w:hint="eastAsia" w:ascii="宋体" w:hAnsi="宋体" w:eastAsia="宋体" w:cs="宋体"/>
          <w:kern w:val="0"/>
          <w:szCs w:val="21"/>
          <w:lang w:val="zh-CN"/>
        </w:rPr>
        <w:t>5、除非采购机构通过修改招标文件予以更正，否则，投标人应毫无例外地按招标文件所列的清单中项目和数量填报综合单价和合价。投标人未填综合单价或合价的项目，在实施后，将不得以支付，并视作该项费用已包括在其它有价款的综合单价或合价内；</w:t>
      </w:r>
    </w:p>
    <w:p>
      <w:pPr>
        <w:ind w:firstLine="420" w:firstLineChars="200"/>
        <w:rPr>
          <w:rFonts w:ascii="宋体" w:hAnsi="宋体" w:eastAsia="宋体" w:cs="宋体"/>
          <w:kern w:val="0"/>
          <w:szCs w:val="21"/>
          <w:lang w:val="zh-CN"/>
        </w:rPr>
      </w:pPr>
      <w:r>
        <w:rPr>
          <w:rFonts w:hint="eastAsia" w:ascii="宋体" w:hAnsi="宋体" w:eastAsia="宋体" w:cs="宋体"/>
          <w:kern w:val="0"/>
          <w:szCs w:val="21"/>
          <w:lang w:val="zh-CN"/>
        </w:rPr>
        <w:t>6、投标人应先到项目地点踏勘以充分了解项目的位置、情况、道路及任何其它足以影响投标报价的情况，任何因忽视或误解项目情况而导致的索赔或服务期限延长申请将不获批准；</w:t>
      </w:r>
    </w:p>
    <w:p>
      <w:pPr>
        <w:ind w:firstLine="420" w:firstLineChars="200"/>
        <w:rPr>
          <w:rFonts w:ascii="宋体" w:hAnsi="宋体" w:eastAsia="宋体" w:cs="宋体"/>
          <w:kern w:val="0"/>
          <w:szCs w:val="21"/>
          <w:lang w:val="zh-CN"/>
        </w:rPr>
      </w:pPr>
      <w:r>
        <w:rPr>
          <w:rFonts w:hint="eastAsia" w:ascii="宋体" w:hAnsi="宋体" w:eastAsia="宋体" w:cs="宋体"/>
          <w:kern w:val="0"/>
          <w:szCs w:val="21"/>
          <w:lang w:val="zh-CN"/>
        </w:rPr>
        <w:t>7、投标人不得期望通过索赔等方式获取补偿，否则，除可能遭到拒绝外，还可能将被作为不良行为记录在案，并可能影响其以后参加政府采购的项目投标。各投标人在投标报价时，应充分考虑投标报价的风险。</w:t>
      </w:r>
    </w:p>
    <w:p>
      <w:pPr>
        <w:ind w:firstLine="422" w:firstLineChars="200"/>
        <w:rPr>
          <w:rFonts w:ascii="宋体" w:hAnsi="宋体" w:eastAsia="宋体" w:cs="宋体"/>
          <w:b/>
          <w:bCs/>
          <w:color w:val="FF0000"/>
          <w:kern w:val="0"/>
          <w:szCs w:val="21"/>
          <w:lang w:val="zh-CN"/>
        </w:rPr>
      </w:pPr>
      <w:r>
        <w:rPr>
          <w:rFonts w:hint="eastAsia" w:ascii="宋体" w:hAnsi="宋体" w:eastAsia="宋体" w:cs="宋体"/>
          <w:b/>
          <w:bCs/>
          <w:color w:val="FF0000"/>
          <w:kern w:val="0"/>
          <w:szCs w:val="21"/>
          <w:lang w:val="zh-CN"/>
        </w:rPr>
        <w:t>8、投标报价仅就每人每月管理服务费进行报价。</w:t>
      </w:r>
    </w:p>
    <w:p>
      <w:pPr>
        <w:ind w:firstLine="422" w:firstLineChars="200"/>
        <w:rPr>
          <w:rFonts w:ascii="宋体" w:hAnsi="宋体" w:eastAsia="宋体" w:cs="宋体"/>
          <w:b/>
          <w:bCs/>
          <w:color w:val="FF0000"/>
          <w:kern w:val="0"/>
          <w:szCs w:val="21"/>
          <w:lang w:val="zh-CN"/>
        </w:rPr>
      </w:pPr>
      <w:r>
        <w:rPr>
          <w:rFonts w:hint="eastAsia" w:ascii="宋体" w:hAnsi="宋体" w:eastAsia="宋体" w:cs="宋体"/>
          <w:b/>
          <w:bCs/>
          <w:color w:val="FF0000"/>
          <w:kern w:val="0"/>
          <w:szCs w:val="21"/>
          <w:lang w:val="zh-CN"/>
        </w:rPr>
        <w:t>投标报价=每人每月管理服务费（单价上限：200元/人/月），实际管理服务费按实际到岗人数据实支付。</w:t>
      </w:r>
    </w:p>
    <w:p>
      <w:pPr>
        <w:ind w:firstLine="435"/>
        <w:rPr>
          <w:lang w:bidi="ar"/>
        </w:rPr>
      </w:pPr>
    </w:p>
    <w:p>
      <w:pPr>
        <w:ind w:firstLine="420" w:firstLineChars="200"/>
        <w:rPr>
          <w:rFonts w:ascii="宋体" w:hAnsi="宋体"/>
          <w:b/>
          <w:szCs w:val="21"/>
        </w:rPr>
      </w:pPr>
      <w:r>
        <w:rPr>
          <w:rFonts w:hint="eastAsia" w:ascii="宋体" w:hAnsi="宋体"/>
          <w:b/>
          <w:szCs w:val="21"/>
          <w:lang w:bidi="ar"/>
        </w:rPr>
        <w:t>（五）终止合同事由</w:t>
      </w:r>
    </w:p>
    <w:p>
      <w:pPr>
        <w:ind w:firstLine="420" w:firstLineChars="200"/>
        <w:rPr>
          <w:rFonts w:ascii="宋体" w:hAnsi="宋体" w:eastAsia="宋体" w:cs="宋体"/>
          <w:kern w:val="0"/>
          <w:szCs w:val="21"/>
          <w:lang w:val="zh-CN"/>
        </w:rPr>
      </w:pPr>
      <w:r>
        <w:rPr>
          <w:rFonts w:hint="eastAsia" w:ascii="宋体" w:hAnsi="宋体" w:eastAsia="宋体" w:cs="宋体"/>
          <w:kern w:val="0"/>
          <w:szCs w:val="21"/>
          <w:lang w:val="zh-CN"/>
        </w:rPr>
        <w:t>中标人有下述情况之一的，采购单位有权终止合同：</w:t>
      </w:r>
    </w:p>
    <w:p>
      <w:pPr>
        <w:ind w:firstLine="420" w:firstLineChars="200"/>
        <w:rPr>
          <w:rFonts w:ascii="宋体" w:hAnsi="宋体" w:eastAsia="宋体" w:cs="宋体"/>
          <w:kern w:val="0"/>
          <w:szCs w:val="21"/>
          <w:lang w:val="zh-CN"/>
        </w:rPr>
      </w:pPr>
      <w:r>
        <w:rPr>
          <w:rFonts w:hint="eastAsia" w:ascii="宋体" w:hAnsi="宋体" w:eastAsia="宋体" w:cs="宋体"/>
          <w:kern w:val="0"/>
          <w:szCs w:val="21"/>
          <w:lang w:val="zh-CN"/>
        </w:rPr>
        <w:t>（1）一年内受到两次责令限期整改的；</w:t>
      </w:r>
    </w:p>
    <w:p>
      <w:pPr>
        <w:ind w:firstLine="420" w:firstLineChars="200"/>
        <w:rPr>
          <w:rFonts w:ascii="宋体" w:hAnsi="宋体" w:eastAsia="宋体" w:cs="宋体"/>
          <w:kern w:val="0"/>
          <w:szCs w:val="21"/>
          <w:lang w:val="zh-CN"/>
        </w:rPr>
      </w:pPr>
      <w:r>
        <w:rPr>
          <w:rFonts w:hint="eastAsia" w:ascii="宋体" w:hAnsi="宋体" w:eastAsia="宋体" w:cs="宋体"/>
          <w:kern w:val="0"/>
          <w:szCs w:val="21"/>
          <w:lang w:val="zh-CN"/>
        </w:rPr>
        <w:t>（2）因中标人的原因，发生重大或以上质量事故或社会公共事件，造成严重社会影响的；</w:t>
      </w:r>
    </w:p>
    <w:p>
      <w:pPr>
        <w:ind w:firstLine="420" w:firstLineChars="200"/>
        <w:rPr>
          <w:rFonts w:ascii="宋体" w:hAnsi="宋体" w:eastAsia="宋体" w:cs="宋体"/>
          <w:kern w:val="0"/>
          <w:szCs w:val="21"/>
          <w:lang w:val="zh-CN"/>
        </w:rPr>
      </w:pPr>
      <w:r>
        <w:rPr>
          <w:rFonts w:hint="eastAsia" w:ascii="宋体" w:hAnsi="宋体" w:eastAsia="宋体" w:cs="宋体"/>
          <w:kern w:val="0"/>
          <w:szCs w:val="21"/>
          <w:lang w:val="zh-CN"/>
        </w:rPr>
        <w:t>（3）由于中标人的主要责任，被媒体曝光造成严重不良社会影响，经查证属实的；</w:t>
      </w:r>
    </w:p>
    <w:p>
      <w:pPr>
        <w:ind w:firstLine="420" w:firstLineChars="200"/>
        <w:rPr>
          <w:rFonts w:ascii="宋体" w:hAnsi="宋体" w:eastAsia="宋体" w:cs="宋体"/>
          <w:kern w:val="0"/>
          <w:szCs w:val="21"/>
          <w:lang w:val="zh-CN"/>
        </w:rPr>
      </w:pPr>
      <w:r>
        <w:rPr>
          <w:rFonts w:hint="eastAsia" w:ascii="宋体" w:hAnsi="宋体" w:eastAsia="宋体" w:cs="宋体"/>
          <w:kern w:val="0"/>
          <w:szCs w:val="21"/>
          <w:lang w:val="zh-CN"/>
        </w:rPr>
        <w:t>（4）法律法规或采购文件规定的其他终止合同的情形。</w:t>
      </w:r>
    </w:p>
    <w:p>
      <w:pPr>
        <w:spacing w:before="115" w:beforeLines="25" w:after="115" w:afterLines="25" w:line="360" w:lineRule="auto"/>
        <w:ind w:firstLine="392" w:firstLineChars="187"/>
        <w:rPr>
          <w:rFonts w:ascii="宋体" w:hAnsi="宋体"/>
          <w:szCs w:val="21"/>
        </w:rPr>
      </w:pPr>
    </w:p>
    <w:p>
      <w:pPr>
        <w:keepNext/>
        <w:keepLines/>
        <w:adjustRightInd w:val="0"/>
        <w:spacing w:before="231" w:beforeLines="50" w:after="231" w:afterLines="50"/>
        <w:jc w:val="center"/>
        <w:textAlignment w:val="baseline"/>
        <w:outlineLvl w:val="1"/>
        <w:rPr>
          <w:rFonts w:ascii="宋体" w:hAnsi="宋体"/>
          <w:b/>
          <w:bCs/>
          <w:kern w:val="0"/>
          <w:sz w:val="28"/>
          <w:szCs w:val="28"/>
        </w:rPr>
      </w:pPr>
      <w:r>
        <w:rPr>
          <w:rFonts w:hint="eastAsia" w:ascii="宋体" w:hAnsi="宋体"/>
          <w:b/>
          <w:bCs/>
          <w:kern w:val="0"/>
          <w:sz w:val="28"/>
          <w:szCs w:val="28"/>
        </w:rPr>
        <w:t>五、注意事项</w:t>
      </w:r>
    </w:p>
    <w:p>
      <w:pPr>
        <w:ind w:firstLine="420" w:firstLineChars="200"/>
        <w:rPr>
          <w:rFonts w:ascii="宋体" w:hAnsi="宋体" w:eastAsia="宋体" w:cs="宋体"/>
          <w:kern w:val="0"/>
          <w:szCs w:val="21"/>
          <w:lang w:val="zh-CN"/>
        </w:rPr>
      </w:pPr>
      <w:r>
        <w:rPr>
          <w:rFonts w:hint="eastAsia" w:ascii="宋体" w:hAnsi="宋体" w:eastAsia="宋体" w:cs="宋体"/>
          <w:kern w:val="0"/>
          <w:szCs w:val="21"/>
          <w:lang w:val="zh-CN"/>
        </w:rPr>
        <w:t>1、中标人不得将项目非法分包或转包给任何单位和个人。否则，采购单位有权即刻终止合同，并要求中标人赔偿相应损失。</w:t>
      </w:r>
    </w:p>
    <w:p>
      <w:pPr>
        <w:ind w:firstLine="420" w:firstLineChars="200"/>
        <w:rPr>
          <w:rFonts w:ascii="宋体" w:hAnsi="宋体" w:eastAsia="宋体" w:cs="宋体"/>
          <w:kern w:val="0"/>
          <w:szCs w:val="21"/>
          <w:lang w:val="zh-CN"/>
        </w:rPr>
      </w:pPr>
      <w:r>
        <w:rPr>
          <w:rFonts w:hint="eastAsia" w:ascii="宋体" w:hAnsi="宋体" w:eastAsia="宋体" w:cs="宋体"/>
          <w:kern w:val="0"/>
          <w:szCs w:val="21"/>
          <w:lang w:val="zh-CN"/>
        </w:rPr>
        <w:t>2、投标人若认为招标文件的技术要求或其他要求有倾向性或不公正性，可在招标答疑阶段提出，以维护招标行为的公平、公正。</w:t>
      </w:r>
    </w:p>
    <w:p>
      <w:pPr>
        <w:ind w:firstLine="420" w:firstLineChars="200"/>
        <w:rPr>
          <w:rFonts w:ascii="宋体" w:hAnsi="宋体" w:eastAsia="宋体" w:cs="宋体"/>
          <w:kern w:val="0"/>
          <w:szCs w:val="21"/>
          <w:lang w:val="zh-CN"/>
        </w:rPr>
      </w:pPr>
      <w:r>
        <w:rPr>
          <w:rFonts w:hint="eastAsia" w:ascii="宋体" w:hAnsi="宋体" w:eastAsia="宋体" w:cs="宋体"/>
          <w:kern w:val="0"/>
          <w:szCs w:val="21"/>
          <w:lang w:val="zh-CN"/>
        </w:rPr>
        <w:t>3、投标人使用的标准必须是国际公认或国家、或地方政府颁布的同等或更高的标准，如投标人使用的标准低于上述标准,评标委员会将有权不予接受，投标人必须列表将明显的差异详细说明。</w:t>
      </w:r>
    </w:p>
    <w:p/>
    <w:p>
      <w:pPr>
        <w:ind w:firstLine="420" w:firstLineChars="200"/>
        <w:rPr>
          <w:rFonts w:ascii="宋体" w:hAnsi="宋体" w:eastAsia="宋体" w:cs="宋体"/>
          <w:szCs w:val="24"/>
        </w:rPr>
      </w:pPr>
    </w:p>
    <w:p>
      <w:pPr>
        <w:pageBreakBefore/>
        <w:spacing w:line="360" w:lineRule="auto"/>
        <w:jc w:val="center"/>
        <w:rPr>
          <w:rFonts w:ascii="Times New Roman" w:hAnsi="Times New Roman" w:eastAsia="宋体" w:cs="Times New Roman"/>
          <w:b/>
          <w:sz w:val="24"/>
          <w:szCs w:val="24"/>
        </w:rPr>
      </w:pPr>
      <w:r>
        <w:rPr>
          <w:rFonts w:hint="eastAsia" w:ascii="宋体" w:hAnsi="宋体" w:eastAsia="宋体" w:cs="Times New Roman"/>
          <w:b/>
          <w:bCs/>
          <w:sz w:val="24"/>
          <w:szCs w:val="20"/>
        </w:rPr>
        <w:t>第三章 投标文件格式</w:t>
      </w:r>
    </w:p>
    <w:p>
      <w:pPr>
        <w:rPr>
          <w:rFonts w:ascii="黑体" w:hAnsi="等线" w:eastAsia="黑体" w:cs="Times New Roman"/>
          <w:bCs/>
          <w:color w:val="FF0000"/>
          <w:sz w:val="24"/>
        </w:rPr>
      </w:pPr>
      <w:r>
        <w:rPr>
          <w:rFonts w:hint="eastAsia" w:ascii="黑体" w:hAnsi="等线" w:eastAsia="黑体" w:cs="Times New Roman"/>
          <w:bCs/>
          <w:color w:val="FF0000"/>
          <w:sz w:val="24"/>
        </w:rPr>
        <w:t>特别提醒：</w:t>
      </w:r>
    </w:p>
    <w:p>
      <w:pPr>
        <w:ind w:firstLine="420" w:firstLineChars="200"/>
        <w:rPr>
          <w:rFonts w:ascii="宋体" w:hAnsi="宋体" w:eastAsia="宋体" w:cs="宋体"/>
          <w:color w:val="000000"/>
          <w:szCs w:val="21"/>
        </w:rPr>
      </w:pPr>
      <w:r>
        <w:rPr>
          <w:rFonts w:hint="eastAsia" w:ascii="宋体" w:hAnsi="宋体" w:eastAsia="宋体" w:cs="宋体"/>
          <w:color w:val="000000"/>
          <w:szCs w:val="21"/>
        </w:rPr>
        <w:t>投标文件分为第一部分和第二部分两部分，投标人在编制投标文件时，在投标文件目录中属于本节点内容的必须在本节点中填写，填写到其他节点的将可能导致废标，一切后果由供应商自行承担。</w:t>
      </w:r>
    </w:p>
    <w:p>
      <w:pPr>
        <w:ind w:firstLine="420" w:firstLineChars="200"/>
        <w:rPr>
          <w:rFonts w:ascii="宋体" w:hAnsi="宋体" w:eastAsia="宋体" w:cs="宋体"/>
          <w:color w:val="000000"/>
          <w:szCs w:val="21"/>
        </w:rPr>
      </w:pPr>
      <w:r>
        <w:rPr>
          <w:rFonts w:hint="eastAsia" w:ascii="宋体" w:hAnsi="宋体" w:eastAsia="宋体" w:cs="宋体"/>
          <w:color w:val="000000"/>
          <w:szCs w:val="21"/>
        </w:rPr>
        <w:t>下文中的“投标人”是参与投标的公司。</w:t>
      </w:r>
    </w:p>
    <w:p>
      <w:pPr>
        <w:ind w:firstLine="420" w:firstLineChars="200"/>
        <w:rPr>
          <w:rFonts w:ascii="宋体" w:hAnsi="宋体" w:eastAsia="宋体" w:cs="宋体"/>
          <w:color w:val="000000"/>
          <w:szCs w:val="21"/>
        </w:rPr>
      </w:pPr>
      <w:r>
        <w:rPr>
          <w:rFonts w:hint="eastAsia" w:ascii="宋体" w:hAnsi="宋体" w:eastAsia="宋体" w:cs="宋体"/>
          <w:color w:val="000000"/>
          <w:szCs w:val="21"/>
        </w:rPr>
        <w:t>在投标文件格式中提示（盖章）或（公章）的位置必须盖投标人公章，提示（签字或签章）的地方必须由相关人员亲笔签名或加盖其名章，否则将导致废标，一切后果由供应商自行承担。</w:t>
      </w:r>
    </w:p>
    <w:p>
      <w:pPr>
        <w:rPr>
          <w:rFonts w:ascii="宋体" w:hAnsi="宋体" w:eastAsia="宋体" w:cs="Times New Roman"/>
          <w:sz w:val="30"/>
          <w:szCs w:val="30"/>
        </w:rPr>
      </w:pPr>
    </w:p>
    <w:p>
      <w:pPr>
        <w:rPr>
          <w:rFonts w:ascii="宋体" w:hAnsi="宋体" w:eastAsia="宋体" w:cs="Times New Roman"/>
          <w:sz w:val="30"/>
          <w:szCs w:val="30"/>
        </w:rPr>
      </w:pPr>
      <w:r>
        <w:rPr>
          <w:rFonts w:hint="eastAsia" w:ascii="宋体" w:hAnsi="宋体" w:eastAsia="宋体" w:cs="Times New Roman"/>
          <w:sz w:val="30"/>
          <w:szCs w:val="30"/>
        </w:rPr>
        <w:t>投标文件组成：</w:t>
      </w:r>
    </w:p>
    <w:p>
      <w:pPr>
        <w:rPr>
          <w:rFonts w:ascii="宋体" w:hAnsi="宋体" w:eastAsia="宋体" w:cs="Times New Roman"/>
          <w:sz w:val="30"/>
          <w:szCs w:val="30"/>
        </w:rPr>
      </w:pPr>
    </w:p>
    <w:p>
      <w:pPr>
        <w:jc w:val="left"/>
        <w:rPr>
          <w:rFonts w:ascii="宋体" w:hAnsi="宋体" w:eastAsia="宋体" w:cs="宋体"/>
          <w:color w:val="000000"/>
          <w:szCs w:val="21"/>
        </w:rPr>
      </w:pPr>
      <w:r>
        <w:rPr>
          <w:rFonts w:hint="eastAsia" w:ascii="宋体" w:hAnsi="宋体" w:eastAsia="宋体" w:cs="宋体"/>
          <w:color w:val="000000"/>
          <w:szCs w:val="21"/>
        </w:rPr>
        <w:t>投标文件第一部分</w:t>
      </w:r>
    </w:p>
    <w:p>
      <w:pPr>
        <w:ind w:firstLine="420" w:firstLineChars="200"/>
        <w:jc w:val="left"/>
        <w:rPr>
          <w:rFonts w:ascii="宋体" w:hAnsi="宋体" w:eastAsia="宋体" w:cs="宋体"/>
          <w:color w:val="000000"/>
          <w:szCs w:val="21"/>
        </w:rPr>
      </w:pPr>
      <w:r>
        <w:rPr>
          <w:rFonts w:hint="eastAsia" w:ascii="宋体" w:hAnsi="宋体" w:eastAsia="宋体" w:cs="宋体"/>
          <w:color w:val="000000"/>
          <w:szCs w:val="21"/>
        </w:rPr>
        <w:t>一、投标函</w:t>
      </w:r>
      <w:r>
        <w:rPr>
          <w:rFonts w:ascii="宋体" w:hAnsi="宋体" w:eastAsia="宋体" w:cs="宋体"/>
          <w:color w:val="000000"/>
          <w:szCs w:val="21"/>
        </w:rPr>
        <w:t xml:space="preserve">                                             </w:t>
      </w:r>
    </w:p>
    <w:p>
      <w:pPr>
        <w:ind w:firstLine="420" w:firstLineChars="200"/>
        <w:jc w:val="left"/>
        <w:rPr>
          <w:rFonts w:ascii="宋体" w:hAnsi="宋体" w:eastAsia="宋体" w:cs="宋体"/>
          <w:color w:val="000000"/>
          <w:szCs w:val="21"/>
        </w:rPr>
      </w:pPr>
      <w:r>
        <w:rPr>
          <w:rFonts w:hint="eastAsia" w:ascii="宋体" w:hAnsi="宋体" w:eastAsia="宋体" w:cs="宋体"/>
          <w:color w:val="000000"/>
          <w:szCs w:val="21"/>
        </w:rPr>
        <w:t>二、投标及履约承诺函</w:t>
      </w:r>
      <w:r>
        <w:rPr>
          <w:rFonts w:ascii="宋体" w:hAnsi="宋体" w:eastAsia="宋体" w:cs="宋体"/>
          <w:color w:val="000000"/>
          <w:szCs w:val="21"/>
        </w:rPr>
        <w:t xml:space="preserve">                                                                   </w:t>
      </w:r>
    </w:p>
    <w:p>
      <w:pPr>
        <w:ind w:firstLine="420" w:firstLineChars="200"/>
        <w:jc w:val="left"/>
        <w:rPr>
          <w:rFonts w:ascii="宋体" w:hAnsi="宋体" w:eastAsia="宋体" w:cs="宋体"/>
          <w:color w:val="000000"/>
          <w:szCs w:val="21"/>
        </w:rPr>
      </w:pPr>
      <w:r>
        <w:rPr>
          <w:rFonts w:hint="eastAsia" w:ascii="宋体" w:hAnsi="宋体" w:eastAsia="宋体" w:cs="宋体"/>
          <w:color w:val="000000"/>
          <w:szCs w:val="21"/>
        </w:rPr>
        <w:t>三、投标人情况介绍</w:t>
      </w:r>
      <w:r>
        <w:rPr>
          <w:rFonts w:ascii="宋体" w:hAnsi="宋体" w:eastAsia="宋体" w:cs="宋体"/>
          <w:color w:val="000000"/>
          <w:szCs w:val="21"/>
        </w:rPr>
        <w:t xml:space="preserve">                                     </w:t>
      </w:r>
    </w:p>
    <w:p>
      <w:pPr>
        <w:ind w:firstLine="420" w:firstLineChars="200"/>
        <w:jc w:val="left"/>
        <w:rPr>
          <w:rFonts w:ascii="宋体" w:hAnsi="宋体" w:eastAsia="宋体" w:cs="宋体"/>
          <w:color w:val="000000"/>
          <w:szCs w:val="21"/>
        </w:rPr>
      </w:pPr>
      <w:r>
        <w:rPr>
          <w:rFonts w:hint="eastAsia" w:ascii="宋体" w:hAnsi="宋体" w:eastAsia="宋体" w:cs="宋体"/>
          <w:color w:val="000000"/>
          <w:szCs w:val="21"/>
        </w:rPr>
        <w:t>四、投标人同类项目业绩情况</w:t>
      </w:r>
      <w:r>
        <w:rPr>
          <w:rFonts w:ascii="宋体" w:hAnsi="宋体" w:eastAsia="宋体" w:cs="宋体"/>
          <w:color w:val="000000"/>
          <w:szCs w:val="21"/>
        </w:rPr>
        <w:t xml:space="preserve">                             </w:t>
      </w:r>
    </w:p>
    <w:p>
      <w:pPr>
        <w:ind w:firstLine="420" w:firstLineChars="200"/>
        <w:jc w:val="left"/>
        <w:rPr>
          <w:rFonts w:ascii="宋体" w:hAnsi="宋体" w:eastAsia="宋体" w:cs="宋体"/>
          <w:color w:val="000000"/>
          <w:szCs w:val="21"/>
        </w:rPr>
      </w:pPr>
      <w:r>
        <w:rPr>
          <w:rFonts w:hint="eastAsia" w:ascii="宋体" w:hAnsi="宋体" w:eastAsia="宋体" w:cs="宋体"/>
          <w:color w:val="000000"/>
          <w:szCs w:val="21"/>
        </w:rPr>
        <w:t>五、拟安排的项目负责人情况（仅限一人）</w:t>
      </w:r>
      <w:r>
        <w:rPr>
          <w:rFonts w:ascii="宋体" w:hAnsi="宋体" w:eastAsia="宋体" w:cs="宋体"/>
          <w:color w:val="000000"/>
          <w:szCs w:val="21"/>
        </w:rPr>
        <w:t xml:space="preserve">                 </w:t>
      </w:r>
    </w:p>
    <w:p>
      <w:pPr>
        <w:ind w:firstLine="420" w:firstLineChars="200"/>
        <w:jc w:val="left"/>
        <w:rPr>
          <w:rFonts w:ascii="宋体" w:hAnsi="宋体" w:eastAsia="宋体" w:cs="宋体"/>
          <w:color w:val="000000"/>
          <w:szCs w:val="21"/>
        </w:rPr>
      </w:pPr>
      <w:r>
        <w:rPr>
          <w:rFonts w:hint="eastAsia" w:ascii="宋体" w:hAnsi="宋体" w:eastAsia="宋体" w:cs="宋体"/>
          <w:color w:val="000000"/>
          <w:szCs w:val="21"/>
        </w:rPr>
        <w:t>六、拟安排的项目主要团队成员（主要技术人员）情况（项目负责人除外）</w:t>
      </w:r>
      <w:r>
        <w:rPr>
          <w:rFonts w:ascii="宋体" w:hAnsi="宋体" w:eastAsia="宋体" w:cs="宋体"/>
          <w:color w:val="000000"/>
          <w:szCs w:val="21"/>
        </w:rPr>
        <w:t xml:space="preserve">               </w:t>
      </w:r>
    </w:p>
    <w:p>
      <w:pPr>
        <w:ind w:firstLine="420" w:firstLineChars="200"/>
        <w:jc w:val="left"/>
        <w:rPr>
          <w:rFonts w:ascii="宋体" w:hAnsi="宋体" w:eastAsia="宋体" w:cs="宋体"/>
          <w:color w:val="000000"/>
          <w:szCs w:val="21"/>
        </w:rPr>
      </w:pPr>
      <w:r>
        <w:rPr>
          <w:rFonts w:hint="eastAsia" w:ascii="宋体" w:hAnsi="宋体" w:eastAsia="宋体" w:cs="宋体"/>
          <w:color w:val="000000"/>
          <w:szCs w:val="21"/>
        </w:rPr>
        <w:t>七、政府采购违法行为风险知悉确认书</w:t>
      </w:r>
      <w:r>
        <w:rPr>
          <w:rFonts w:ascii="宋体" w:hAnsi="宋体" w:eastAsia="宋体" w:cs="宋体"/>
          <w:color w:val="000000"/>
          <w:szCs w:val="21"/>
        </w:rPr>
        <w:t xml:space="preserve">                     </w:t>
      </w:r>
    </w:p>
    <w:p>
      <w:pPr>
        <w:ind w:firstLine="420" w:firstLineChars="200"/>
        <w:jc w:val="left"/>
        <w:rPr>
          <w:rFonts w:ascii="宋体" w:hAnsi="宋体" w:eastAsia="宋体" w:cs="宋体"/>
          <w:color w:val="000000"/>
          <w:szCs w:val="21"/>
        </w:rPr>
      </w:pPr>
      <w:r>
        <w:rPr>
          <w:rFonts w:hint="eastAsia" w:ascii="宋体" w:hAnsi="宋体" w:eastAsia="宋体" w:cs="宋体"/>
          <w:color w:val="000000"/>
          <w:szCs w:val="21"/>
        </w:rPr>
        <w:t>八、报价一览表</w:t>
      </w:r>
      <w:r>
        <w:rPr>
          <w:rFonts w:ascii="宋体" w:hAnsi="宋体" w:eastAsia="宋体" w:cs="宋体"/>
          <w:color w:val="000000"/>
          <w:szCs w:val="21"/>
        </w:rPr>
        <w:t xml:space="preserve">                                         </w:t>
      </w:r>
    </w:p>
    <w:p>
      <w:pPr>
        <w:ind w:firstLine="420" w:firstLineChars="200"/>
        <w:jc w:val="left"/>
        <w:rPr>
          <w:rFonts w:ascii="宋体" w:hAnsi="宋体" w:eastAsia="宋体" w:cs="宋体"/>
          <w:color w:val="000000"/>
          <w:szCs w:val="21"/>
        </w:rPr>
      </w:pPr>
      <w:r>
        <w:rPr>
          <w:rFonts w:hint="eastAsia" w:ascii="宋体" w:hAnsi="宋体" w:eastAsia="宋体" w:cs="宋体"/>
          <w:color w:val="000000"/>
          <w:szCs w:val="21"/>
        </w:rPr>
        <w:t>九、项目详细报价（可选）</w:t>
      </w:r>
      <w:r>
        <w:rPr>
          <w:rFonts w:ascii="宋体" w:hAnsi="宋体" w:eastAsia="宋体" w:cs="宋体"/>
          <w:color w:val="000000"/>
          <w:szCs w:val="21"/>
        </w:rPr>
        <w:t xml:space="preserve">  </w:t>
      </w:r>
    </w:p>
    <w:p>
      <w:pPr>
        <w:rPr>
          <w:rFonts w:ascii="宋体" w:hAnsi="宋体" w:eastAsia="宋体" w:cs="宋体"/>
          <w:color w:val="000000"/>
          <w:szCs w:val="21"/>
        </w:rPr>
      </w:pPr>
      <w:r>
        <w:rPr>
          <w:rFonts w:hint="eastAsia" w:ascii="宋体" w:hAnsi="宋体" w:eastAsia="宋体" w:cs="宋体"/>
          <w:color w:val="000000"/>
          <w:szCs w:val="21"/>
        </w:rPr>
        <w:t>投标文件第二部分</w:t>
      </w:r>
    </w:p>
    <w:p>
      <w:pPr>
        <w:rPr>
          <w:rFonts w:ascii="宋体" w:hAnsi="宋体" w:eastAsia="宋体" w:cs="宋体"/>
          <w:color w:val="000000"/>
          <w:szCs w:val="21"/>
        </w:rPr>
      </w:pPr>
      <w:r>
        <w:rPr>
          <w:rFonts w:hint="eastAsia" w:ascii="宋体" w:hAnsi="宋体" w:eastAsia="宋体" w:cs="宋体"/>
          <w:color w:val="000000"/>
          <w:szCs w:val="21"/>
        </w:rPr>
        <w:t>一、投标文件签署授权委托书</w:t>
      </w:r>
      <w:r>
        <w:rPr>
          <w:rFonts w:ascii="宋体" w:hAnsi="宋体" w:eastAsia="宋体" w:cs="宋体"/>
          <w:color w:val="000000"/>
          <w:szCs w:val="21"/>
        </w:rPr>
        <w:t xml:space="preserve">                             </w:t>
      </w:r>
    </w:p>
    <w:p>
      <w:pPr>
        <w:rPr>
          <w:rFonts w:ascii="宋体" w:hAnsi="宋体" w:eastAsia="宋体" w:cs="宋体"/>
          <w:color w:val="000000"/>
          <w:szCs w:val="21"/>
        </w:rPr>
      </w:pPr>
      <w:r>
        <w:rPr>
          <w:rFonts w:hint="eastAsia" w:ascii="宋体" w:hAnsi="宋体" w:eastAsia="宋体" w:cs="宋体"/>
          <w:color w:val="000000"/>
          <w:szCs w:val="21"/>
        </w:rPr>
        <w:t>二、实施方案</w:t>
      </w:r>
      <w:r>
        <w:rPr>
          <w:rFonts w:ascii="宋体" w:hAnsi="宋体" w:eastAsia="宋体" w:cs="宋体"/>
          <w:color w:val="000000"/>
          <w:szCs w:val="21"/>
        </w:rPr>
        <w:t xml:space="preserve">                                           </w:t>
      </w:r>
    </w:p>
    <w:p>
      <w:pPr>
        <w:rPr>
          <w:rFonts w:ascii="宋体" w:hAnsi="宋体" w:eastAsia="宋体" w:cs="宋体"/>
          <w:color w:val="000000"/>
          <w:szCs w:val="21"/>
        </w:rPr>
      </w:pPr>
      <w:r>
        <w:rPr>
          <w:rFonts w:hint="eastAsia" w:ascii="宋体" w:hAnsi="宋体" w:eastAsia="宋体" w:cs="宋体"/>
          <w:color w:val="000000"/>
          <w:szCs w:val="21"/>
        </w:rPr>
        <w:t>三、项目特色、亮点及相关的合理化建议</w:t>
      </w:r>
    </w:p>
    <w:p>
      <w:pPr>
        <w:rPr>
          <w:rFonts w:ascii="宋体" w:hAnsi="宋体" w:eastAsia="宋体" w:cs="宋体"/>
          <w:color w:val="000000"/>
          <w:szCs w:val="21"/>
        </w:rPr>
      </w:pPr>
      <w:r>
        <w:rPr>
          <w:rFonts w:hint="eastAsia" w:ascii="宋体" w:hAnsi="宋体" w:eastAsia="宋体" w:cs="宋体"/>
          <w:color w:val="000000"/>
          <w:szCs w:val="21"/>
        </w:rPr>
        <w:t>四、质量（完成时间、安全、环保）保障措施及方案</w:t>
      </w:r>
      <w:r>
        <w:rPr>
          <w:rFonts w:ascii="宋体" w:hAnsi="宋体" w:eastAsia="宋体" w:cs="宋体"/>
          <w:color w:val="000000"/>
          <w:szCs w:val="21"/>
        </w:rPr>
        <w:t xml:space="preserve">                                            </w:t>
      </w:r>
    </w:p>
    <w:p>
      <w:pPr>
        <w:rPr>
          <w:rFonts w:ascii="宋体" w:hAnsi="宋体" w:eastAsia="宋体" w:cs="宋体"/>
          <w:color w:val="000000"/>
          <w:szCs w:val="21"/>
        </w:rPr>
      </w:pPr>
      <w:r>
        <w:rPr>
          <w:rFonts w:hint="eastAsia" w:ascii="宋体" w:hAnsi="宋体" w:eastAsia="宋体" w:cs="宋体"/>
          <w:color w:val="000000"/>
          <w:szCs w:val="21"/>
        </w:rPr>
        <w:t>五、违约承诺</w:t>
      </w:r>
      <w:r>
        <w:rPr>
          <w:rFonts w:ascii="宋体" w:hAnsi="宋体" w:eastAsia="宋体" w:cs="宋体"/>
          <w:color w:val="000000"/>
          <w:szCs w:val="21"/>
        </w:rPr>
        <w:t xml:space="preserve">                                           </w:t>
      </w:r>
    </w:p>
    <w:p>
      <w:pPr>
        <w:rPr>
          <w:rFonts w:ascii="宋体" w:hAnsi="宋体" w:eastAsia="宋体" w:cs="宋体"/>
          <w:color w:val="000000"/>
          <w:szCs w:val="21"/>
        </w:rPr>
      </w:pPr>
      <w:r>
        <w:rPr>
          <w:rFonts w:hint="eastAsia" w:ascii="宋体" w:hAnsi="宋体" w:eastAsia="宋体" w:cs="宋体"/>
          <w:color w:val="000000"/>
          <w:szCs w:val="21"/>
        </w:rPr>
        <w:t>六、其它招标文件要求的内容及投标人认为需要补充的内容</w:t>
      </w:r>
      <w:r>
        <w:rPr>
          <w:rFonts w:ascii="宋体" w:hAnsi="宋体" w:eastAsia="宋体" w:cs="宋体"/>
          <w:color w:val="000000"/>
          <w:szCs w:val="21"/>
        </w:rPr>
        <w:t xml:space="preserve">   </w:t>
      </w:r>
    </w:p>
    <w:bookmarkEnd w:id="0"/>
    <w:bookmarkEnd w:id="1"/>
    <w:bookmarkEnd w:id="2"/>
    <w:p>
      <w:pPr>
        <w:pStyle w:val="3"/>
        <w:rPr>
          <w:color w:val="FF0000"/>
        </w:rPr>
      </w:pPr>
      <w:r>
        <w:rPr>
          <w:rFonts w:hint="eastAsia"/>
          <w:color w:val="FF0000"/>
        </w:rPr>
        <w:t>封面</w:t>
      </w:r>
    </w:p>
    <w:p>
      <w:pPr>
        <w:rPr>
          <w:rFonts w:asciiTheme="minorEastAsia" w:hAnsiTheme="minorEastAsia"/>
          <w:b/>
          <w:color w:val="FF0000"/>
          <w:sz w:val="30"/>
          <w:szCs w:val="30"/>
        </w:rPr>
      </w:pPr>
    </w:p>
    <w:p>
      <w:pPr>
        <w:jc w:val="right"/>
        <w:rPr>
          <w:rFonts w:asciiTheme="minorEastAsia" w:hAnsiTheme="minorEastAsia"/>
          <w:b/>
          <w:sz w:val="36"/>
          <w:szCs w:val="36"/>
        </w:rPr>
      </w:pPr>
      <w:r>
        <w:rPr>
          <w:rFonts w:hint="eastAsia" w:asciiTheme="minorEastAsia" w:hAnsiTheme="minorEastAsia"/>
          <w:b/>
          <w:sz w:val="36"/>
          <w:szCs w:val="36"/>
          <w:highlight w:val="yellow"/>
        </w:rPr>
        <w:t>正本</w:t>
      </w:r>
      <w:r>
        <w:rPr>
          <w:rFonts w:asciiTheme="minorEastAsia" w:hAnsiTheme="minorEastAsia"/>
          <w:b/>
          <w:sz w:val="36"/>
          <w:szCs w:val="36"/>
          <w:highlight w:val="yellow"/>
        </w:rPr>
        <w:t>/副本</w:t>
      </w:r>
    </w:p>
    <w:p>
      <w:pPr>
        <w:jc w:val="center"/>
        <w:rPr>
          <w:rFonts w:asciiTheme="minorEastAsia" w:hAnsiTheme="minorEastAsia"/>
          <w:b/>
          <w:sz w:val="52"/>
          <w:szCs w:val="52"/>
        </w:rPr>
      </w:pPr>
    </w:p>
    <w:p>
      <w:pPr>
        <w:jc w:val="center"/>
        <w:rPr>
          <w:rFonts w:asciiTheme="minorEastAsia" w:hAnsiTheme="minorEastAsia"/>
          <w:b/>
          <w:sz w:val="52"/>
          <w:szCs w:val="52"/>
        </w:rPr>
      </w:pPr>
    </w:p>
    <w:p>
      <w:pPr>
        <w:jc w:val="center"/>
        <w:rPr>
          <w:rFonts w:asciiTheme="minorEastAsia" w:hAnsiTheme="minorEastAsia"/>
          <w:b/>
          <w:sz w:val="84"/>
          <w:szCs w:val="84"/>
        </w:rPr>
      </w:pPr>
      <w:r>
        <w:rPr>
          <w:rFonts w:hint="eastAsia" w:asciiTheme="minorEastAsia" w:hAnsiTheme="minorEastAsia"/>
          <w:b/>
          <w:sz w:val="84"/>
          <w:szCs w:val="84"/>
        </w:rPr>
        <w:t>投 标 文 件</w:t>
      </w:r>
    </w:p>
    <w:p>
      <w:pPr>
        <w:rPr>
          <w:rFonts w:asciiTheme="minorEastAsia" w:hAnsiTheme="minorEastAsia"/>
          <w:b/>
          <w:sz w:val="30"/>
          <w:szCs w:val="30"/>
        </w:rPr>
      </w:pPr>
    </w:p>
    <w:p>
      <w:pPr>
        <w:rPr>
          <w:rFonts w:asciiTheme="minorEastAsia" w:hAnsiTheme="minorEastAsia"/>
          <w:b/>
          <w:sz w:val="30"/>
          <w:szCs w:val="30"/>
        </w:rPr>
      </w:pPr>
    </w:p>
    <w:p>
      <w:pPr>
        <w:rPr>
          <w:rFonts w:asciiTheme="minorEastAsia" w:hAnsiTheme="minorEastAsia"/>
          <w:b/>
          <w:sz w:val="30"/>
          <w:szCs w:val="30"/>
        </w:rPr>
      </w:pPr>
    </w:p>
    <w:p>
      <w:pPr>
        <w:rPr>
          <w:rFonts w:asciiTheme="minorEastAsia" w:hAnsiTheme="minorEastAsia"/>
          <w:b/>
          <w:sz w:val="32"/>
          <w:szCs w:val="32"/>
        </w:rPr>
      </w:pPr>
      <w:r>
        <w:rPr>
          <w:rFonts w:hint="eastAsia" w:asciiTheme="minorEastAsia" w:hAnsiTheme="minorEastAsia"/>
          <w:b/>
          <w:sz w:val="32"/>
          <w:szCs w:val="32"/>
        </w:rPr>
        <w:t>项目编号：</w:t>
      </w:r>
    </w:p>
    <w:p>
      <w:pPr>
        <w:rPr>
          <w:rFonts w:asciiTheme="minorEastAsia" w:hAnsiTheme="minorEastAsia"/>
          <w:b/>
          <w:sz w:val="32"/>
          <w:szCs w:val="32"/>
        </w:rPr>
      </w:pPr>
    </w:p>
    <w:p>
      <w:pPr>
        <w:rPr>
          <w:rFonts w:asciiTheme="minorEastAsia" w:hAnsiTheme="minorEastAsia"/>
          <w:b/>
          <w:sz w:val="32"/>
          <w:szCs w:val="32"/>
        </w:rPr>
      </w:pPr>
      <w:r>
        <w:rPr>
          <w:rFonts w:hint="eastAsia" w:asciiTheme="minorEastAsia" w:hAnsiTheme="minorEastAsia"/>
          <w:b/>
          <w:sz w:val="32"/>
          <w:szCs w:val="32"/>
        </w:rPr>
        <w:t>项目</w:t>
      </w:r>
      <w:r>
        <w:rPr>
          <w:rFonts w:asciiTheme="minorEastAsia" w:hAnsiTheme="minorEastAsia"/>
          <w:b/>
          <w:sz w:val="32"/>
          <w:szCs w:val="32"/>
        </w:rPr>
        <w:t>名称：</w:t>
      </w:r>
    </w:p>
    <w:p>
      <w:pPr>
        <w:rPr>
          <w:rFonts w:asciiTheme="minorEastAsia" w:hAnsiTheme="minorEastAsia"/>
          <w:b/>
          <w:sz w:val="30"/>
          <w:szCs w:val="30"/>
        </w:rPr>
      </w:pPr>
    </w:p>
    <w:p>
      <w:pPr>
        <w:rPr>
          <w:rFonts w:asciiTheme="minorEastAsia" w:hAnsiTheme="minorEastAsia"/>
          <w:b/>
          <w:sz w:val="30"/>
          <w:szCs w:val="30"/>
        </w:rPr>
      </w:pPr>
    </w:p>
    <w:p>
      <w:pPr>
        <w:rPr>
          <w:rFonts w:asciiTheme="minorEastAsia" w:hAnsiTheme="minorEastAsia"/>
          <w:b/>
          <w:sz w:val="30"/>
          <w:szCs w:val="30"/>
        </w:rPr>
      </w:pPr>
    </w:p>
    <w:p>
      <w:pPr>
        <w:rPr>
          <w:rFonts w:asciiTheme="minorEastAsia" w:hAnsiTheme="minorEastAsia"/>
          <w:b/>
          <w:sz w:val="30"/>
          <w:szCs w:val="30"/>
        </w:rPr>
      </w:pPr>
    </w:p>
    <w:p>
      <w:pPr>
        <w:rPr>
          <w:rFonts w:asciiTheme="minorEastAsia" w:hAnsiTheme="minorEastAsia"/>
          <w:b/>
          <w:sz w:val="30"/>
          <w:szCs w:val="30"/>
        </w:rPr>
      </w:pPr>
    </w:p>
    <w:p>
      <w:pPr>
        <w:rPr>
          <w:rFonts w:asciiTheme="minorEastAsia" w:hAnsiTheme="minorEastAsia"/>
          <w:b/>
          <w:sz w:val="30"/>
          <w:szCs w:val="30"/>
        </w:rPr>
      </w:pPr>
    </w:p>
    <w:p>
      <w:pPr>
        <w:rPr>
          <w:rFonts w:asciiTheme="minorEastAsia" w:hAnsiTheme="minorEastAsia"/>
          <w:b/>
          <w:sz w:val="30"/>
          <w:szCs w:val="30"/>
        </w:rPr>
      </w:pPr>
    </w:p>
    <w:p>
      <w:pPr>
        <w:rPr>
          <w:rFonts w:asciiTheme="minorEastAsia" w:hAnsiTheme="minorEastAsia"/>
          <w:b/>
          <w:sz w:val="30"/>
          <w:szCs w:val="30"/>
        </w:rPr>
      </w:pPr>
    </w:p>
    <w:p>
      <w:pPr>
        <w:rPr>
          <w:rFonts w:asciiTheme="minorEastAsia" w:hAnsiTheme="minorEastAsia"/>
          <w:b/>
          <w:sz w:val="30"/>
          <w:szCs w:val="30"/>
        </w:rPr>
      </w:pPr>
    </w:p>
    <w:p>
      <w:pPr>
        <w:rPr>
          <w:rFonts w:asciiTheme="minorEastAsia" w:hAnsiTheme="minorEastAsia"/>
          <w:b/>
          <w:sz w:val="30"/>
          <w:szCs w:val="30"/>
        </w:rPr>
      </w:pPr>
    </w:p>
    <w:p>
      <w:pPr>
        <w:rPr>
          <w:rFonts w:asciiTheme="minorEastAsia" w:hAnsiTheme="minorEastAsia"/>
          <w:b/>
          <w:sz w:val="30"/>
          <w:szCs w:val="30"/>
        </w:rPr>
      </w:pPr>
    </w:p>
    <w:p>
      <w:pPr>
        <w:rPr>
          <w:rFonts w:asciiTheme="minorEastAsia" w:hAnsiTheme="minorEastAsia"/>
          <w:b/>
          <w:sz w:val="32"/>
          <w:szCs w:val="32"/>
        </w:rPr>
      </w:pPr>
      <w:r>
        <w:rPr>
          <w:rFonts w:hint="eastAsia" w:asciiTheme="minorEastAsia" w:hAnsiTheme="minorEastAsia"/>
          <w:b/>
          <w:sz w:val="32"/>
          <w:szCs w:val="32"/>
        </w:rPr>
        <w:t>投标人</w:t>
      </w:r>
      <w:r>
        <w:rPr>
          <w:rFonts w:asciiTheme="minorEastAsia" w:hAnsiTheme="minorEastAsia"/>
          <w:b/>
          <w:sz w:val="32"/>
          <w:szCs w:val="32"/>
        </w:rPr>
        <w:t>（供应商</w:t>
      </w:r>
      <w:r>
        <w:rPr>
          <w:rFonts w:hint="eastAsia" w:asciiTheme="minorEastAsia" w:hAnsiTheme="minorEastAsia"/>
          <w:b/>
          <w:sz w:val="32"/>
          <w:szCs w:val="32"/>
        </w:rPr>
        <w:t>）</w:t>
      </w:r>
      <w:r>
        <w:rPr>
          <w:rFonts w:asciiTheme="minorEastAsia" w:hAnsiTheme="minorEastAsia"/>
          <w:b/>
          <w:sz w:val="32"/>
          <w:szCs w:val="32"/>
        </w:rPr>
        <w:t>：</w:t>
      </w:r>
    </w:p>
    <w:p>
      <w:pPr>
        <w:widowControl/>
        <w:jc w:val="center"/>
        <w:rPr>
          <w:rFonts w:asciiTheme="minorEastAsia" w:hAnsiTheme="minorEastAsia"/>
          <w:b/>
          <w:color w:val="FF0000"/>
          <w:sz w:val="30"/>
          <w:szCs w:val="30"/>
        </w:rPr>
      </w:pPr>
      <w:r>
        <w:rPr>
          <w:rFonts w:hint="eastAsia"/>
          <w:sz w:val="36"/>
          <w:szCs w:val="36"/>
        </w:rPr>
        <w:t>目录</w:t>
      </w:r>
    </w:p>
    <w:p>
      <w:pPr>
        <w:rPr>
          <w:rFonts w:ascii="仿宋_GB2312" w:eastAsia="仿宋_GB2312"/>
          <w:sz w:val="30"/>
          <w:szCs w:val="30"/>
        </w:rPr>
      </w:pPr>
      <w:r>
        <w:rPr>
          <w:rFonts w:hint="eastAsia" w:ascii="仿宋_GB2312" w:hAnsi="Times New Roman" w:eastAsia="仿宋_GB2312" w:cs="Times New Roman"/>
          <w:sz w:val="30"/>
          <w:szCs w:val="30"/>
        </w:rPr>
        <w:t>投标文件第一部分</w:t>
      </w:r>
    </w:p>
    <w:p>
      <w:pPr>
        <w:rPr>
          <w:rFonts w:ascii="宋体" w:hAnsi="宋体"/>
          <w:sz w:val="28"/>
          <w:szCs w:val="28"/>
        </w:rPr>
      </w:pPr>
      <w:r>
        <w:rPr>
          <w:rFonts w:hint="eastAsia" w:ascii="宋体" w:hAnsi="宋体" w:eastAsia="宋体" w:cs="Times New Roman"/>
          <w:sz w:val="28"/>
          <w:szCs w:val="28"/>
        </w:rPr>
        <w:t>一、投标函                                             页码</w:t>
      </w:r>
    </w:p>
    <w:p>
      <w:pPr>
        <w:rPr>
          <w:rFonts w:ascii="宋体" w:hAnsi="宋体"/>
          <w:sz w:val="28"/>
          <w:szCs w:val="28"/>
        </w:rPr>
      </w:pPr>
      <w:r>
        <w:rPr>
          <w:rFonts w:hint="eastAsia" w:ascii="宋体" w:hAnsi="宋体" w:eastAsia="宋体" w:cs="Times New Roman"/>
          <w:sz w:val="28"/>
          <w:szCs w:val="28"/>
        </w:rPr>
        <w:t>二</w:t>
      </w:r>
      <w:r>
        <w:rPr>
          <w:rFonts w:ascii="宋体" w:hAnsi="宋体" w:eastAsia="宋体" w:cs="Times New Roman"/>
          <w:sz w:val="28"/>
          <w:szCs w:val="28"/>
        </w:rPr>
        <w:t>、</w:t>
      </w:r>
      <w:r>
        <w:rPr>
          <w:rFonts w:hint="eastAsia" w:ascii="宋体" w:hAnsi="宋体" w:eastAsia="宋体" w:cs="Times New Roman"/>
          <w:sz w:val="28"/>
          <w:szCs w:val="28"/>
        </w:rPr>
        <w:t xml:space="preserve">投标及履约承诺函                                   页码                                </w:t>
      </w:r>
    </w:p>
    <w:p>
      <w:pPr>
        <w:rPr>
          <w:rFonts w:ascii="宋体" w:hAnsi="宋体"/>
          <w:sz w:val="28"/>
          <w:szCs w:val="28"/>
        </w:rPr>
      </w:pPr>
      <w:r>
        <w:rPr>
          <w:rFonts w:hint="eastAsia" w:ascii="宋体" w:hAnsi="宋体" w:cs="Times New Roman"/>
          <w:sz w:val="28"/>
          <w:szCs w:val="28"/>
        </w:rPr>
        <w:t>三</w:t>
      </w:r>
      <w:r>
        <w:rPr>
          <w:rFonts w:ascii="宋体" w:hAnsi="宋体" w:eastAsia="宋体" w:cs="Times New Roman"/>
          <w:sz w:val="28"/>
          <w:szCs w:val="28"/>
        </w:rPr>
        <w:t>、</w:t>
      </w:r>
      <w:r>
        <w:rPr>
          <w:rFonts w:hint="eastAsia" w:ascii="宋体" w:hAnsi="宋体" w:eastAsia="宋体" w:cs="Times New Roman"/>
          <w:sz w:val="28"/>
          <w:szCs w:val="28"/>
        </w:rPr>
        <w:t>投标人</w:t>
      </w:r>
      <w:r>
        <w:rPr>
          <w:rFonts w:hint="eastAsia" w:ascii="宋体" w:hAnsi="宋体" w:cs="Times New Roman"/>
          <w:sz w:val="28"/>
          <w:szCs w:val="28"/>
        </w:rPr>
        <w:t>情况介绍</w:t>
      </w:r>
      <w:r>
        <w:rPr>
          <w:rFonts w:hint="eastAsia" w:ascii="宋体" w:hAnsi="宋体" w:eastAsia="宋体" w:cs="Times New Roman"/>
          <w:sz w:val="28"/>
          <w:szCs w:val="28"/>
        </w:rPr>
        <w:t xml:space="preserve">                  </w:t>
      </w:r>
      <w:r>
        <w:rPr>
          <w:rFonts w:hint="eastAsia" w:ascii="宋体" w:hAnsi="宋体" w:cs="Times New Roman"/>
          <w:sz w:val="28"/>
          <w:szCs w:val="28"/>
        </w:rPr>
        <w:t xml:space="preserve">                   </w:t>
      </w:r>
      <w:r>
        <w:rPr>
          <w:rFonts w:hint="eastAsia" w:ascii="宋体" w:hAnsi="宋体" w:eastAsia="宋体" w:cs="Times New Roman"/>
          <w:sz w:val="28"/>
          <w:szCs w:val="28"/>
        </w:rPr>
        <w:t>页码</w:t>
      </w:r>
    </w:p>
    <w:p>
      <w:pPr>
        <w:rPr>
          <w:rFonts w:ascii="宋体" w:hAnsi="宋体"/>
          <w:sz w:val="28"/>
          <w:szCs w:val="28"/>
        </w:rPr>
      </w:pPr>
      <w:r>
        <w:rPr>
          <w:rFonts w:hint="eastAsia" w:ascii="宋体" w:hAnsi="宋体" w:cs="Times New Roman"/>
          <w:sz w:val="28"/>
          <w:szCs w:val="28"/>
        </w:rPr>
        <w:t>四</w:t>
      </w:r>
      <w:r>
        <w:rPr>
          <w:rFonts w:hint="eastAsia" w:ascii="宋体" w:hAnsi="宋体" w:eastAsia="宋体" w:cs="Times New Roman"/>
          <w:sz w:val="28"/>
          <w:szCs w:val="28"/>
        </w:rPr>
        <w:t>、投标人同类</w:t>
      </w:r>
      <w:r>
        <w:rPr>
          <w:rFonts w:hint="eastAsia" w:ascii="宋体" w:hAnsi="宋体" w:cs="Times New Roman"/>
          <w:sz w:val="28"/>
          <w:szCs w:val="28"/>
        </w:rPr>
        <w:t>项目</w:t>
      </w:r>
      <w:r>
        <w:rPr>
          <w:rFonts w:hint="eastAsia" w:ascii="宋体" w:hAnsi="宋体" w:eastAsia="宋体" w:cs="Times New Roman"/>
          <w:sz w:val="28"/>
          <w:szCs w:val="28"/>
        </w:rPr>
        <w:t>业绩</w:t>
      </w:r>
      <w:r>
        <w:rPr>
          <w:rFonts w:hint="eastAsia" w:ascii="宋体" w:hAnsi="宋体" w:cs="Times New Roman"/>
          <w:sz w:val="28"/>
          <w:szCs w:val="28"/>
        </w:rPr>
        <w:t>情况</w:t>
      </w:r>
      <w:r>
        <w:rPr>
          <w:rFonts w:hint="eastAsia" w:ascii="宋体" w:hAnsi="宋体" w:eastAsia="宋体" w:cs="Times New Roman"/>
          <w:sz w:val="28"/>
          <w:szCs w:val="28"/>
        </w:rPr>
        <w:t xml:space="preserve">                             页码</w:t>
      </w:r>
    </w:p>
    <w:p>
      <w:pPr>
        <w:rPr>
          <w:rFonts w:ascii="宋体" w:hAnsi="宋体"/>
          <w:sz w:val="28"/>
          <w:szCs w:val="28"/>
        </w:rPr>
      </w:pPr>
      <w:r>
        <w:rPr>
          <w:rFonts w:hint="eastAsia" w:ascii="宋体" w:hAnsi="宋体" w:cs="Times New Roman"/>
          <w:sz w:val="28"/>
          <w:szCs w:val="28"/>
        </w:rPr>
        <w:t>五</w:t>
      </w:r>
      <w:r>
        <w:rPr>
          <w:rFonts w:hint="eastAsia" w:ascii="宋体" w:hAnsi="宋体" w:eastAsia="宋体" w:cs="Times New Roman"/>
          <w:sz w:val="28"/>
          <w:szCs w:val="28"/>
        </w:rPr>
        <w:t>、拟安排的项目负责人情况（仅限一人）                 页码</w:t>
      </w:r>
    </w:p>
    <w:p>
      <w:pPr>
        <w:rPr>
          <w:rFonts w:ascii="宋体" w:hAnsi="宋体"/>
          <w:sz w:val="28"/>
          <w:szCs w:val="28"/>
        </w:rPr>
      </w:pPr>
      <w:r>
        <w:rPr>
          <w:rFonts w:hint="eastAsia" w:ascii="宋体" w:hAnsi="宋体" w:cs="Times New Roman"/>
          <w:sz w:val="28"/>
          <w:szCs w:val="28"/>
        </w:rPr>
        <w:t xml:space="preserve">六、拟安排的项目主要团队成员（主要技术人员）情况 </w:t>
      </w:r>
      <w:r>
        <w:rPr>
          <w:rFonts w:hint="eastAsia" w:ascii="宋体" w:hAnsi="宋体" w:eastAsia="宋体" w:cs="Times New Roman"/>
          <w:sz w:val="28"/>
          <w:szCs w:val="28"/>
        </w:rPr>
        <w:t xml:space="preserve"> </w:t>
      </w:r>
      <w:r>
        <w:rPr>
          <w:rFonts w:hint="eastAsia" w:ascii="宋体" w:hAnsi="宋体" w:cs="Times New Roman"/>
          <w:sz w:val="28"/>
          <w:szCs w:val="28"/>
        </w:rPr>
        <w:t xml:space="preserve">     </w:t>
      </w:r>
      <w:r>
        <w:rPr>
          <w:rFonts w:hint="eastAsia" w:ascii="宋体" w:hAnsi="宋体" w:eastAsia="宋体" w:cs="Times New Roman"/>
          <w:sz w:val="28"/>
          <w:szCs w:val="28"/>
        </w:rPr>
        <w:t>页码</w:t>
      </w:r>
    </w:p>
    <w:p>
      <w:r>
        <w:rPr>
          <w:rFonts w:hint="eastAsia" w:ascii="宋体" w:hAnsi="宋体" w:cs="Times New Roman"/>
          <w:sz w:val="28"/>
          <w:szCs w:val="28"/>
        </w:rPr>
        <w:t>七</w:t>
      </w:r>
      <w:r>
        <w:rPr>
          <w:rFonts w:hint="eastAsia" w:ascii="宋体" w:hAnsi="宋体" w:eastAsia="宋体" w:cs="Times New Roman"/>
          <w:sz w:val="28"/>
          <w:szCs w:val="28"/>
        </w:rPr>
        <w:t>、政府采购违法行为风险知悉确认书</w:t>
      </w:r>
      <w:r>
        <w:rPr>
          <w:rFonts w:hint="eastAsia" w:ascii="宋体" w:hAnsi="宋体" w:cs="Times New Roman"/>
          <w:sz w:val="28"/>
          <w:szCs w:val="28"/>
        </w:rPr>
        <w:t xml:space="preserve">                  </w:t>
      </w:r>
      <w:r>
        <w:rPr>
          <w:rFonts w:hint="eastAsia" w:ascii="宋体" w:hAnsi="宋体" w:eastAsia="宋体" w:cs="Times New Roman"/>
          <w:sz w:val="28"/>
          <w:szCs w:val="28"/>
        </w:rPr>
        <w:t xml:space="preserve">   页码</w:t>
      </w:r>
    </w:p>
    <w:p>
      <w:pPr>
        <w:rPr>
          <w:rFonts w:ascii="宋体" w:hAnsi="宋体"/>
          <w:sz w:val="28"/>
          <w:szCs w:val="28"/>
        </w:rPr>
      </w:pPr>
      <w:r>
        <w:rPr>
          <w:rFonts w:hint="eastAsia" w:ascii="宋体" w:hAnsi="宋体" w:cs="Times New Roman"/>
          <w:sz w:val="28"/>
          <w:szCs w:val="28"/>
        </w:rPr>
        <w:t>八</w:t>
      </w:r>
      <w:r>
        <w:rPr>
          <w:rFonts w:hint="eastAsia" w:ascii="宋体" w:hAnsi="宋体" w:eastAsia="宋体" w:cs="Times New Roman"/>
          <w:sz w:val="28"/>
          <w:szCs w:val="28"/>
        </w:rPr>
        <w:t xml:space="preserve">、报价一览表   </w:t>
      </w:r>
      <w:r>
        <w:rPr>
          <w:rFonts w:hint="eastAsia" w:ascii="宋体" w:hAnsi="宋体" w:cs="Times New Roman"/>
          <w:sz w:val="28"/>
          <w:szCs w:val="28"/>
        </w:rPr>
        <w:t xml:space="preserve">                                      </w:t>
      </w:r>
      <w:r>
        <w:rPr>
          <w:rFonts w:hint="eastAsia" w:ascii="宋体" w:hAnsi="宋体" w:eastAsia="宋体" w:cs="Times New Roman"/>
          <w:sz w:val="28"/>
          <w:szCs w:val="28"/>
        </w:rPr>
        <w:t>页码</w:t>
      </w:r>
    </w:p>
    <w:p>
      <w:pPr>
        <w:rPr>
          <w:rFonts w:ascii="宋体" w:hAnsi="宋体"/>
          <w:sz w:val="28"/>
          <w:szCs w:val="28"/>
        </w:rPr>
      </w:pPr>
      <w:r>
        <w:rPr>
          <w:rFonts w:hint="eastAsia" w:ascii="宋体" w:hAnsi="宋体" w:eastAsia="宋体" w:cs="Times New Roman"/>
          <w:sz w:val="28"/>
          <w:szCs w:val="28"/>
        </w:rPr>
        <w:t>九、项目详细报价（可选）</w:t>
      </w:r>
      <w:r>
        <w:rPr>
          <w:rFonts w:hint="eastAsia" w:ascii="宋体" w:hAnsi="宋体" w:cs="Times New Roman"/>
          <w:sz w:val="28"/>
          <w:szCs w:val="28"/>
        </w:rPr>
        <w:t xml:space="preserve">                               </w:t>
      </w:r>
      <w:r>
        <w:rPr>
          <w:rFonts w:hint="eastAsia" w:ascii="宋体" w:hAnsi="宋体" w:eastAsia="宋体" w:cs="Times New Roman"/>
          <w:sz w:val="28"/>
          <w:szCs w:val="28"/>
        </w:rPr>
        <w:t>页码</w:t>
      </w:r>
    </w:p>
    <w:p>
      <w:pPr>
        <w:rPr>
          <w:rFonts w:ascii="仿宋_GB2312" w:eastAsia="仿宋_GB2312"/>
          <w:sz w:val="30"/>
          <w:szCs w:val="30"/>
        </w:rPr>
      </w:pPr>
    </w:p>
    <w:p>
      <w:pPr>
        <w:rPr>
          <w:rFonts w:ascii="仿宋_GB2312" w:eastAsia="仿宋_GB2312"/>
          <w:sz w:val="30"/>
          <w:szCs w:val="30"/>
        </w:rPr>
      </w:pPr>
      <w:r>
        <w:rPr>
          <w:rFonts w:hint="eastAsia" w:ascii="仿宋_GB2312" w:hAnsi="Times New Roman" w:eastAsia="仿宋_GB2312" w:cs="Times New Roman"/>
          <w:sz w:val="30"/>
          <w:szCs w:val="30"/>
        </w:rPr>
        <w:t>投标文件第二部分</w:t>
      </w:r>
    </w:p>
    <w:p>
      <w:pPr>
        <w:widowControl/>
        <w:jc w:val="left"/>
        <w:rPr>
          <w:rFonts w:ascii="宋体" w:hAnsi="宋体"/>
          <w:sz w:val="28"/>
          <w:szCs w:val="28"/>
        </w:rPr>
      </w:pPr>
      <w:r>
        <w:rPr>
          <w:rFonts w:hint="eastAsia" w:ascii="宋体" w:hAnsi="宋体" w:eastAsia="宋体" w:cs="Times New Roman"/>
          <w:sz w:val="28"/>
          <w:szCs w:val="28"/>
        </w:rPr>
        <w:t>一、</w:t>
      </w:r>
      <w:r>
        <w:rPr>
          <w:rFonts w:ascii="宋体" w:hAnsi="宋体" w:eastAsia="宋体" w:cs="Times New Roman"/>
          <w:sz w:val="28"/>
          <w:szCs w:val="28"/>
        </w:rPr>
        <w:t>投标文件签署授权委托书</w:t>
      </w:r>
      <w:r>
        <w:rPr>
          <w:rFonts w:hint="eastAsia" w:ascii="宋体" w:hAnsi="宋体" w:eastAsia="宋体" w:cs="Times New Roman"/>
          <w:sz w:val="28"/>
          <w:szCs w:val="28"/>
        </w:rPr>
        <w:t xml:space="preserve">                             页码</w:t>
      </w:r>
    </w:p>
    <w:p>
      <w:pPr>
        <w:widowControl/>
        <w:jc w:val="left"/>
        <w:rPr>
          <w:rFonts w:ascii="宋体" w:hAnsi="宋体"/>
          <w:sz w:val="28"/>
          <w:szCs w:val="28"/>
        </w:rPr>
      </w:pPr>
      <w:r>
        <w:rPr>
          <w:rFonts w:hint="eastAsia" w:ascii="宋体" w:hAnsi="宋体" w:eastAsia="宋体" w:cs="Times New Roman"/>
          <w:sz w:val="28"/>
          <w:szCs w:val="28"/>
        </w:rPr>
        <w:t>二</w:t>
      </w:r>
      <w:r>
        <w:rPr>
          <w:rFonts w:ascii="宋体" w:hAnsi="宋体" w:eastAsia="宋体" w:cs="Times New Roman"/>
          <w:sz w:val="28"/>
          <w:szCs w:val="28"/>
        </w:rPr>
        <w:t>、实施方案</w:t>
      </w:r>
      <w:r>
        <w:rPr>
          <w:rFonts w:hint="eastAsia" w:ascii="宋体" w:hAnsi="宋体" w:eastAsia="宋体" w:cs="Times New Roman"/>
          <w:sz w:val="28"/>
          <w:szCs w:val="28"/>
        </w:rPr>
        <w:t xml:space="preserve">                                           页码</w:t>
      </w:r>
    </w:p>
    <w:p>
      <w:pPr>
        <w:widowControl/>
        <w:jc w:val="left"/>
        <w:rPr>
          <w:rFonts w:ascii="宋体" w:hAnsi="宋体"/>
          <w:sz w:val="28"/>
          <w:szCs w:val="28"/>
        </w:rPr>
      </w:pPr>
      <w:r>
        <w:rPr>
          <w:rFonts w:hint="eastAsia" w:ascii="宋体" w:hAnsi="宋体" w:eastAsia="宋体" w:cs="Times New Roman"/>
          <w:sz w:val="28"/>
          <w:szCs w:val="28"/>
        </w:rPr>
        <w:t>三</w:t>
      </w:r>
      <w:r>
        <w:rPr>
          <w:rFonts w:ascii="宋体" w:hAnsi="宋体" w:eastAsia="宋体" w:cs="Times New Roman"/>
          <w:sz w:val="28"/>
          <w:szCs w:val="28"/>
        </w:rPr>
        <w:t>、</w:t>
      </w:r>
      <w:r>
        <w:rPr>
          <w:rFonts w:hint="eastAsia" w:ascii="宋体" w:hAnsi="宋体" w:eastAsia="宋体" w:cs="Times New Roman"/>
          <w:sz w:val="28"/>
          <w:szCs w:val="28"/>
        </w:rPr>
        <w:t>项目特色、亮点及相关的合理化建议</w:t>
      </w:r>
      <w:r>
        <w:rPr>
          <w:rFonts w:hint="eastAsia" w:ascii="宋体" w:hAnsi="宋体" w:cs="Times New Roman"/>
          <w:sz w:val="28"/>
          <w:szCs w:val="28"/>
        </w:rPr>
        <w:t xml:space="preserve">                   页码</w:t>
      </w:r>
      <w:r>
        <w:rPr>
          <w:rFonts w:hint="eastAsia" w:ascii="宋体" w:hAnsi="宋体" w:eastAsia="宋体" w:cs="Times New Roman"/>
          <w:sz w:val="28"/>
          <w:szCs w:val="28"/>
        </w:rPr>
        <w:t xml:space="preserve">       </w:t>
      </w:r>
    </w:p>
    <w:p>
      <w:pPr>
        <w:widowControl/>
        <w:jc w:val="left"/>
        <w:rPr>
          <w:rFonts w:ascii="宋体" w:hAnsi="宋体"/>
          <w:sz w:val="28"/>
          <w:szCs w:val="28"/>
        </w:rPr>
      </w:pPr>
      <w:r>
        <w:rPr>
          <w:rFonts w:hint="eastAsia" w:ascii="宋体" w:hAnsi="宋体" w:eastAsia="宋体" w:cs="Times New Roman"/>
          <w:sz w:val="28"/>
          <w:szCs w:val="28"/>
        </w:rPr>
        <w:t>四、质量（完成时间、安全、环保）保障措施及方案         页码</w:t>
      </w:r>
    </w:p>
    <w:p>
      <w:pPr>
        <w:widowControl/>
        <w:jc w:val="left"/>
        <w:rPr>
          <w:rFonts w:ascii="宋体" w:hAnsi="宋体"/>
          <w:sz w:val="28"/>
          <w:szCs w:val="28"/>
        </w:rPr>
      </w:pPr>
      <w:r>
        <w:rPr>
          <w:rFonts w:hint="eastAsia" w:ascii="宋体" w:hAnsi="宋体" w:eastAsia="宋体" w:cs="Times New Roman"/>
          <w:sz w:val="28"/>
          <w:szCs w:val="28"/>
        </w:rPr>
        <w:t>五、违约承诺                                           页码</w:t>
      </w:r>
    </w:p>
    <w:p>
      <w:pPr>
        <w:widowControl/>
        <w:jc w:val="left"/>
        <w:rPr>
          <w:rFonts w:ascii="宋体" w:hAnsi="宋体"/>
          <w:sz w:val="28"/>
          <w:szCs w:val="28"/>
        </w:rPr>
      </w:pPr>
      <w:r>
        <w:rPr>
          <w:rFonts w:hint="eastAsia" w:ascii="宋体" w:hAnsi="宋体" w:cs="Times New Roman"/>
          <w:sz w:val="28"/>
          <w:szCs w:val="28"/>
        </w:rPr>
        <w:t>六</w:t>
      </w:r>
      <w:r>
        <w:rPr>
          <w:rFonts w:ascii="宋体" w:hAnsi="宋体" w:eastAsia="宋体" w:cs="Times New Roman"/>
          <w:sz w:val="28"/>
          <w:szCs w:val="28"/>
        </w:rPr>
        <w:t>、</w:t>
      </w:r>
      <w:r>
        <w:rPr>
          <w:rFonts w:hint="eastAsia" w:ascii="宋体" w:hAnsi="宋体" w:eastAsia="宋体" w:cs="Times New Roman"/>
          <w:sz w:val="28"/>
          <w:szCs w:val="28"/>
        </w:rPr>
        <w:t>其它招标文件要求的内容及投标人认为需要补充的内容   页码</w:t>
      </w:r>
    </w:p>
    <w:p/>
    <w:p/>
    <w:p>
      <w:pPr>
        <w:rPr>
          <w:b/>
          <w:bCs/>
          <w:color w:val="FF0000"/>
          <w:sz w:val="24"/>
        </w:rPr>
      </w:pPr>
      <w:r>
        <w:rPr>
          <w:rFonts w:hint="eastAsia" w:ascii="Times New Roman" w:hAnsi="Times New Roman" w:eastAsia="宋体" w:cs="Times New Roman"/>
          <w:b/>
          <w:bCs/>
          <w:color w:val="FF0000"/>
          <w:sz w:val="24"/>
          <w:szCs w:val="24"/>
        </w:rPr>
        <w:t>注意</w:t>
      </w:r>
      <w:r>
        <w:rPr>
          <w:rFonts w:ascii="Times New Roman" w:hAnsi="Times New Roman" w:eastAsia="宋体" w:cs="Times New Roman"/>
          <w:b/>
          <w:bCs/>
          <w:color w:val="FF0000"/>
          <w:sz w:val="24"/>
          <w:szCs w:val="24"/>
        </w:rPr>
        <w:t>：</w:t>
      </w:r>
      <w:r>
        <w:rPr>
          <w:rFonts w:hint="eastAsia" w:ascii="Times New Roman" w:hAnsi="Times New Roman" w:eastAsia="宋体" w:cs="Times New Roman"/>
          <w:b/>
          <w:bCs/>
          <w:color w:val="FF0000"/>
          <w:sz w:val="24"/>
          <w:szCs w:val="24"/>
        </w:rPr>
        <w:t xml:space="preserve"> 目录</w:t>
      </w:r>
      <w:r>
        <w:rPr>
          <w:rFonts w:ascii="Times New Roman" w:hAnsi="Times New Roman" w:eastAsia="宋体" w:cs="Times New Roman"/>
          <w:b/>
          <w:bCs/>
          <w:color w:val="FF0000"/>
          <w:sz w:val="24"/>
          <w:szCs w:val="24"/>
        </w:rPr>
        <w:t>须</w:t>
      </w:r>
      <w:r>
        <w:rPr>
          <w:rFonts w:hint="eastAsia" w:ascii="Times New Roman" w:hAnsi="Times New Roman" w:eastAsia="宋体" w:cs="Times New Roman"/>
          <w:b/>
          <w:bCs/>
          <w:color w:val="FF0000"/>
          <w:sz w:val="24"/>
          <w:szCs w:val="24"/>
        </w:rPr>
        <w:t>按照</w:t>
      </w:r>
      <w:r>
        <w:rPr>
          <w:rFonts w:ascii="Times New Roman" w:hAnsi="Times New Roman" w:eastAsia="宋体" w:cs="Times New Roman"/>
          <w:b/>
          <w:bCs/>
          <w:color w:val="FF0000"/>
          <w:sz w:val="24"/>
          <w:szCs w:val="24"/>
        </w:rPr>
        <w:t>实际投标文件编制并标注</w:t>
      </w:r>
      <w:r>
        <w:rPr>
          <w:rFonts w:hint="eastAsia" w:ascii="Times New Roman" w:hAnsi="Times New Roman" w:eastAsia="宋体" w:cs="Times New Roman"/>
          <w:b/>
          <w:bCs/>
          <w:color w:val="FF0000"/>
          <w:sz w:val="24"/>
          <w:szCs w:val="24"/>
        </w:rPr>
        <w:t>对应</w:t>
      </w:r>
      <w:r>
        <w:rPr>
          <w:rFonts w:ascii="Times New Roman" w:hAnsi="Times New Roman" w:eastAsia="宋体" w:cs="Times New Roman"/>
          <w:b/>
          <w:bCs/>
          <w:color w:val="FF0000"/>
          <w:sz w:val="24"/>
          <w:szCs w:val="24"/>
        </w:rPr>
        <w:t>的页码</w:t>
      </w:r>
    </w:p>
    <w:p>
      <w:pPr>
        <w:ind w:left="718" w:leftChars="342" w:firstLine="1417" w:firstLineChars="675"/>
        <w:rPr>
          <w:szCs w:val="21"/>
        </w:rPr>
      </w:pPr>
    </w:p>
    <w:p>
      <w:pPr>
        <w:pStyle w:val="2"/>
      </w:pPr>
    </w:p>
    <w:p>
      <w:pPr>
        <w:ind w:left="718" w:leftChars="342" w:firstLine="1417" w:firstLineChars="675"/>
        <w:rPr>
          <w:szCs w:val="21"/>
        </w:rPr>
      </w:pPr>
    </w:p>
    <w:p>
      <w:pPr>
        <w:ind w:left="718" w:leftChars="342" w:firstLine="1417" w:firstLineChars="675"/>
        <w:rPr>
          <w:szCs w:val="21"/>
        </w:rPr>
      </w:pPr>
    </w:p>
    <w:p>
      <w:pPr>
        <w:rPr>
          <w:szCs w:val="21"/>
        </w:rPr>
      </w:pPr>
    </w:p>
    <w:p>
      <w:pPr>
        <w:pStyle w:val="3"/>
      </w:pPr>
      <w:r>
        <w:rPr>
          <w:rFonts w:hint="eastAsia"/>
          <w:color w:val="FF0000"/>
        </w:rPr>
        <w:t>投标文件第一部分</w:t>
      </w:r>
    </w:p>
    <w:p>
      <w:pPr>
        <w:rPr>
          <w:kern w:val="0"/>
        </w:rPr>
      </w:pPr>
    </w:p>
    <w:p>
      <w:pPr>
        <w:pStyle w:val="3"/>
        <w:jc w:val="center"/>
        <w:rPr>
          <w:rFonts w:ascii="黑体" w:eastAsia="黑体"/>
          <w:b w:val="0"/>
          <w:kern w:val="0"/>
          <w:sz w:val="32"/>
        </w:rPr>
      </w:pPr>
      <w:r>
        <w:rPr>
          <w:rFonts w:hint="eastAsia" w:ascii="黑体" w:eastAsia="黑体"/>
          <w:b w:val="0"/>
          <w:kern w:val="0"/>
          <w:sz w:val="32"/>
        </w:rPr>
        <w:t>一、投标函</w:t>
      </w:r>
    </w:p>
    <w:p>
      <w:pPr>
        <w:spacing w:line="360" w:lineRule="auto"/>
        <w:rPr>
          <w:rFonts w:ascii="宋体" w:hAnsi="宋体"/>
          <w:sz w:val="28"/>
          <w:szCs w:val="28"/>
        </w:rPr>
      </w:pPr>
      <w:r>
        <w:rPr>
          <w:rFonts w:hint="eastAsia" w:ascii="宋体" w:hAnsi="宋体"/>
          <w:sz w:val="28"/>
          <w:szCs w:val="28"/>
        </w:rPr>
        <w:t>致：</w:t>
      </w:r>
      <w:r>
        <w:rPr>
          <w:rFonts w:hint="eastAsia" w:ascii="宋体" w:hAnsi="宋体"/>
          <w:sz w:val="28"/>
          <w:szCs w:val="28"/>
          <w:u w:val="single"/>
        </w:rPr>
        <w:t xml:space="preserve">  深圳大学总医院  </w:t>
      </w:r>
    </w:p>
    <w:p>
      <w:pPr>
        <w:spacing w:after="231" w:afterLines="50"/>
        <w:ind w:firstLine="560" w:firstLineChars="200"/>
        <w:rPr>
          <w:sz w:val="28"/>
          <w:szCs w:val="28"/>
        </w:rPr>
      </w:pPr>
      <w:r>
        <w:rPr>
          <w:rFonts w:hint="eastAsia"/>
          <w:sz w:val="28"/>
          <w:szCs w:val="28"/>
        </w:rPr>
        <w:t>1、根据已收到贵方的项目编号为</w:t>
      </w:r>
      <w:r>
        <w:rPr>
          <w:rFonts w:hint="eastAsia"/>
          <w:sz w:val="28"/>
          <w:szCs w:val="28"/>
          <w:u w:val="single"/>
        </w:rPr>
        <w:t xml:space="preserve">SUGHCG2024010FW </w:t>
      </w:r>
      <w:r>
        <w:rPr>
          <w:rFonts w:hint="eastAsia"/>
          <w:sz w:val="28"/>
          <w:szCs w:val="28"/>
        </w:rPr>
        <w:t>的</w:t>
      </w:r>
      <w:r>
        <w:rPr>
          <w:rFonts w:hint="eastAsia"/>
          <w:sz w:val="28"/>
          <w:szCs w:val="28"/>
          <w:u w:val="single"/>
        </w:rPr>
        <w:t>深圳大学总医院购买劳务派遣用工服务</w:t>
      </w:r>
      <w:r>
        <w:rPr>
          <w:rFonts w:hint="eastAsia"/>
          <w:sz w:val="28"/>
          <w:szCs w:val="28"/>
        </w:rPr>
        <w:t>项目的招标文件，遵照《深圳经济特区政府采购条例》和《深圳经济特区政府采购条例实施细则》等有关规定，我单位经研究上述招标文件的专用条款及通用条款后，我方愿以投标书中《投标一览表》填写的投标报价并按招标文件要求承包上述项目并修补其任何缺陷。</w:t>
      </w:r>
    </w:p>
    <w:p>
      <w:pPr>
        <w:spacing w:after="231" w:afterLines="50"/>
        <w:ind w:firstLine="548" w:firstLineChars="196"/>
        <w:rPr>
          <w:rFonts w:ascii="宋体" w:hAnsi="宋体"/>
          <w:sz w:val="28"/>
          <w:szCs w:val="28"/>
        </w:rPr>
      </w:pPr>
      <w:r>
        <w:rPr>
          <w:rFonts w:hint="eastAsia" w:ascii="宋体" w:hAnsi="宋体"/>
          <w:sz w:val="28"/>
          <w:szCs w:val="28"/>
        </w:rPr>
        <w:t>2、我方同意所递交的投标文件在“对通用条款的补充内容”中的投标有效期内有效，在此期间内我方的投标有可能中标，我方将受此约束。</w:t>
      </w:r>
    </w:p>
    <w:p>
      <w:pPr>
        <w:spacing w:after="231" w:afterLines="50"/>
        <w:ind w:firstLine="548" w:firstLineChars="196"/>
        <w:rPr>
          <w:rFonts w:ascii="宋体" w:hAnsi="宋体"/>
          <w:sz w:val="28"/>
          <w:szCs w:val="28"/>
        </w:rPr>
      </w:pPr>
      <w:r>
        <w:rPr>
          <w:rFonts w:hint="eastAsia" w:ascii="宋体" w:hAnsi="宋体"/>
          <w:sz w:val="28"/>
          <w:szCs w:val="28"/>
        </w:rPr>
        <w:t>3、除非另外达成协议并生效，贵方的中标通知书和本投标文件将构成约束我们双方的合同。</w:t>
      </w:r>
    </w:p>
    <w:p>
      <w:pPr>
        <w:spacing w:after="231" w:afterLines="50"/>
        <w:ind w:firstLine="548" w:firstLineChars="196"/>
        <w:rPr>
          <w:rFonts w:ascii="宋体" w:hAnsi="宋体"/>
          <w:sz w:val="28"/>
          <w:szCs w:val="28"/>
        </w:rPr>
      </w:pPr>
      <w:r>
        <w:rPr>
          <w:rFonts w:hint="eastAsia" w:ascii="宋体" w:hAnsi="宋体"/>
          <w:sz w:val="28"/>
          <w:szCs w:val="28"/>
        </w:rPr>
        <w:t>4、我方理解贵方将不受必须接受你们所收到的最低标价或其它任何投标文件的约束。</w:t>
      </w:r>
    </w:p>
    <w:p>
      <w:pPr>
        <w:ind w:left="540" w:leftChars="257"/>
        <w:rPr>
          <w:sz w:val="28"/>
          <w:szCs w:val="28"/>
        </w:rPr>
      </w:pPr>
    </w:p>
    <w:p>
      <w:pPr>
        <w:ind w:left="540" w:leftChars="257"/>
        <w:rPr>
          <w:sz w:val="28"/>
          <w:szCs w:val="28"/>
        </w:rPr>
      </w:pPr>
    </w:p>
    <w:p>
      <w:pPr>
        <w:ind w:left="540" w:leftChars="257"/>
        <w:rPr>
          <w:sz w:val="28"/>
          <w:szCs w:val="28"/>
        </w:rPr>
      </w:pPr>
      <w:r>
        <w:rPr>
          <w:rFonts w:hint="eastAsia"/>
          <w:sz w:val="28"/>
          <w:szCs w:val="28"/>
        </w:rPr>
        <w:t>投标人：</w:t>
      </w:r>
      <w:r>
        <w:rPr>
          <w:rFonts w:hint="eastAsia"/>
          <w:sz w:val="28"/>
          <w:szCs w:val="28"/>
          <w:u w:val="single"/>
        </w:rPr>
        <w:t xml:space="preserve">                   </w:t>
      </w:r>
      <w:r>
        <w:rPr>
          <w:rFonts w:hint="eastAsia"/>
          <w:sz w:val="28"/>
          <w:szCs w:val="28"/>
        </w:rPr>
        <w:t xml:space="preserve">   (盖章) </w:t>
      </w:r>
    </w:p>
    <w:p>
      <w:pPr>
        <w:ind w:left="540" w:leftChars="257"/>
        <w:rPr>
          <w:sz w:val="28"/>
          <w:szCs w:val="28"/>
          <w:u w:val="single"/>
        </w:rPr>
      </w:pPr>
      <w:r>
        <w:rPr>
          <w:rFonts w:hint="eastAsia"/>
          <w:sz w:val="28"/>
          <w:szCs w:val="28"/>
        </w:rPr>
        <w:t>单位地址：</w:t>
      </w:r>
      <w:r>
        <w:rPr>
          <w:rFonts w:hint="eastAsia"/>
          <w:sz w:val="28"/>
          <w:szCs w:val="28"/>
          <w:u w:val="single"/>
        </w:rPr>
        <w:t xml:space="preserve">               </w:t>
      </w:r>
      <w:r>
        <w:rPr>
          <w:sz w:val="28"/>
          <w:szCs w:val="28"/>
          <w:u w:val="single"/>
        </w:rPr>
        <w:t xml:space="preserve">            </w:t>
      </w:r>
    </w:p>
    <w:p>
      <w:pPr>
        <w:ind w:left="540" w:leftChars="257"/>
        <w:rPr>
          <w:sz w:val="28"/>
          <w:szCs w:val="28"/>
          <w:u w:val="single"/>
        </w:rPr>
      </w:pPr>
      <w:r>
        <w:rPr>
          <w:rFonts w:hint="eastAsia"/>
          <w:sz w:val="28"/>
          <w:szCs w:val="28"/>
        </w:rPr>
        <w:t>法定代表人或其委托代理人：</w:t>
      </w:r>
      <w:r>
        <w:rPr>
          <w:rFonts w:hint="eastAsia"/>
          <w:sz w:val="28"/>
          <w:szCs w:val="28"/>
          <w:u w:val="single"/>
        </w:rPr>
        <w:t xml:space="preserve">                  （签字</w:t>
      </w:r>
      <w:r>
        <w:rPr>
          <w:sz w:val="28"/>
          <w:szCs w:val="28"/>
          <w:u w:val="single"/>
        </w:rPr>
        <w:t>或签章</w:t>
      </w:r>
      <w:r>
        <w:rPr>
          <w:rFonts w:hint="eastAsia"/>
          <w:sz w:val="28"/>
          <w:szCs w:val="28"/>
          <w:u w:val="single"/>
        </w:rPr>
        <w:t xml:space="preserve">） </w:t>
      </w:r>
    </w:p>
    <w:p>
      <w:pPr>
        <w:ind w:left="540" w:leftChars="257"/>
        <w:rPr>
          <w:sz w:val="28"/>
          <w:szCs w:val="28"/>
          <w:u w:val="single"/>
        </w:rPr>
      </w:pPr>
      <w:r>
        <w:rPr>
          <w:rFonts w:hint="eastAsia"/>
          <w:sz w:val="28"/>
          <w:szCs w:val="28"/>
        </w:rPr>
        <w:t>电话：</w:t>
      </w:r>
      <w:r>
        <w:rPr>
          <w:rFonts w:hint="eastAsia"/>
          <w:sz w:val="28"/>
          <w:szCs w:val="28"/>
          <w:u w:val="single"/>
        </w:rPr>
        <w:t xml:space="preserve">          </w:t>
      </w:r>
      <w:r>
        <w:rPr>
          <w:rFonts w:hint="eastAsia"/>
          <w:sz w:val="28"/>
          <w:szCs w:val="28"/>
        </w:rPr>
        <w:t xml:space="preserve">  传真：</w:t>
      </w:r>
      <w:r>
        <w:rPr>
          <w:rFonts w:hint="eastAsia"/>
          <w:sz w:val="28"/>
          <w:szCs w:val="28"/>
          <w:u w:val="single"/>
        </w:rPr>
        <w:t xml:space="preserve">            </w:t>
      </w:r>
    </w:p>
    <w:p>
      <w:pPr>
        <w:ind w:left="540" w:leftChars="257"/>
        <w:rPr>
          <w:sz w:val="28"/>
          <w:szCs w:val="28"/>
        </w:rPr>
      </w:pPr>
      <w:r>
        <w:rPr>
          <w:rFonts w:hint="eastAsia"/>
          <w:sz w:val="28"/>
          <w:szCs w:val="28"/>
        </w:rPr>
        <w:t>开户银行名称：</w:t>
      </w:r>
      <w:r>
        <w:rPr>
          <w:rFonts w:hint="eastAsia"/>
          <w:sz w:val="28"/>
          <w:szCs w:val="28"/>
          <w:u w:val="single"/>
        </w:rPr>
        <w:tab/>
      </w:r>
      <w:r>
        <w:rPr>
          <w:rFonts w:hint="eastAsia"/>
          <w:sz w:val="28"/>
          <w:szCs w:val="28"/>
          <w:u w:val="single"/>
        </w:rPr>
        <w:tab/>
      </w:r>
      <w:r>
        <w:rPr>
          <w:rFonts w:hint="eastAsia"/>
          <w:sz w:val="28"/>
          <w:szCs w:val="28"/>
          <w:u w:val="single"/>
        </w:rPr>
        <w:tab/>
      </w:r>
      <w:r>
        <w:rPr>
          <w:rFonts w:hint="eastAsia"/>
          <w:sz w:val="28"/>
          <w:szCs w:val="28"/>
          <w:u w:val="single"/>
        </w:rPr>
        <w:tab/>
      </w:r>
      <w:r>
        <w:rPr>
          <w:rFonts w:hint="eastAsia"/>
          <w:sz w:val="28"/>
          <w:szCs w:val="28"/>
        </w:rPr>
        <w:tab/>
      </w:r>
      <w:r>
        <w:rPr>
          <w:rFonts w:hint="eastAsia"/>
          <w:sz w:val="28"/>
          <w:szCs w:val="28"/>
        </w:rPr>
        <w:t>开户银行帐号：</w:t>
      </w:r>
      <w:r>
        <w:rPr>
          <w:rFonts w:hint="eastAsia"/>
          <w:sz w:val="28"/>
          <w:szCs w:val="28"/>
          <w:u w:val="single"/>
        </w:rPr>
        <w:tab/>
      </w:r>
      <w:r>
        <w:rPr>
          <w:rFonts w:hint="eastAsia"/>
          <w:sz w:val="28"/>
          <w:szCs w:val="28"/>
          <w:u w:val="single"/>
        </w:rPr>
        <w:tab/>
      </w:r>
      <w:r>
        <w:rPr>
          <w:rFonts w:hint="eastAsia"/>
          <w:sz w:val="28"/>
          <w:szCs w:val="28"/>
          <w:u w:val="single"/>
        </w:rPr>
        <w:tab/>
      </w:r>
      <w:r>
        <w:rPr>
          <w:rFonts w:hint="eastAsia"/>
          <w:sz w:val="28"/>
          <w:szCs w:val="28"/>
          <w:u w:val="single"/>
        </w:rPr>
        <w:tab/>
      </w:r>
    </w:p>
    <w:p>
      <w:pPr>
        <w:ind w:left="540" w:leftChars="257"/>
        <w:rPr>
          <w:sz w:val="28"/>
          <w:szCs w:val="28"/>
        </w:rPr>
      </w:pPr>
      <w:r>
        <w:rPr>
          <w:rFonts w:hint="eastAsia"/>
          <w:sz w:val="28"/>
          <w:szCs w:val="28"/>
        </w:rPr>
        <w:t>开户银行地址：</w:t>
      </w:r>
      <w:r>
        <w:rPr>
          <w:rFonts w:hint="eastAsia"/>
          <w:sz w:val="28"/>
          <w:szCs w:val="28"/>
          <w:u w:val="single"/>
        </w:rPr>
        <w:tab/>
      </w:r>
      <w:r>
        <w:rPr>
          <w:rFonts w:hint="eastAsia"/>
          <w:sz w:val="28"/>
          <w:szCs w:val="28"/>
          <w:u w:val="single"/>
        </w:rPr>
        <w:tab/>
      </w:r>
      <w:r>
        <w:rPr>
          <w:rFonts w:hint="eastAsia"/>
          <w:sz w:val="28"/>
          <w:szCs w:val="28"/>
          <w:u w:val="single"/>
        </w:rPr>
        <w:tab/>
      </w:r>
      <w:r>
        <w:rPr>
          <w:rFonts w:hint="eastAsia"/>
          <w:sz w:val="28"/>
          <w:szCs w:val="28"/>
          <w:u w:val="single"/>
        </w:rPr>
        <w:tab/>
      </w:r>
      <w:r>
        <w:rPr>
          <w:rFonts w:hint="eastAsia"/>
          <w:sz w:val="28"/>
          <w:szCs w:val="28"/>
        </w:rPr>
        <w:tab/>
      </w:r>
      <w:r>
        <w:rPr>
          <w:rFonts w:hint="eastAsia"/>
          <w:sz w:val="28"/>
          <w:szCs w:val="28"/>
        </w:rPr>
        <w:t>开户银行电话：</w:t>
      </w:r>
      <w:r>
        <w:rPr>
          <w:rFonts w:hint="eastAsia"/>
          <w:sz w:val="28"/>
          <w:szCs w:val="28"/>
          <w:u w:val="single"/>
        </w:rPr>
        <w:tab/>
      </w:r>
      <w:r>
        <w:rPr>
          <w:rFonts w:hint="eastAsia"/>
          <w:sz w:val="28"/>
          <w:szCs w:val="28"/>
          <w:u w:val="single"/>
        </w:rPr>
        <w:tab/>
      </w:r>
      <w:r>
        <w:rPr>
          <w:rFonts w:hint="eastAsia"/>
          <w:sz w:val="28"/>
          <w:szCs w:val="28"/>
          <w:u w:val="single"/>
        </w:rPr>
        <w:tab/>
      </w:r>
      <w:r>
        <w:rPr>
          <w:rFonts w:hint="eastAsia"/>
          <w:sz w:val="28"/>
          <w:szCs w:val="28"/>
          <w:u w:val="single"/>
        </w:rPr>
        <w:tab/>
      </w:r>
    </w:p>
    <w:p>
      <w:pPr>
        <w:ind w:firstLine="560" w:firstLineChars="200"/>
        <w:rPr>
          <w:sz w:val="24"/>
        </w:rPr>
      </w:pPr>
      <w:r>
        <w:rPr>
          <w:rFonts w:hint="eastAsia" w:ascii="宋体" w:hAnsi="宋体"/>
          <w:sz w:val="28"/>
          <w:szCs w:val="28"/>
        </w:rPr>
        <w:t>日期：</w:t>
      </w:r>
      <w:r>
        <w:rPr>
          <w:rFonts w:hint="eastAsia" w:ascii="宋体" w:hAnsi="宋体"/>
          <w:sz w:val="28"/>
          <w:szCs w:val="28"/>
          <w:u w:val="single"/>
        </w:rPr>
        <w:t xml:space="preserve">       </w:t>
      </w:r>
      <w:r>
        <w:rPr>
          <w:rFonts w:hint="eastAsia" w:ascii="宋体" w:hAnsi="宋体"/>
          <w:sz w:val="28"/>
          <w:szCs w:val="28"/>
        </w:rPr>
        <w:t>年</w:t>
      </w:r>
      <w:r>
        <w:rPr>
          <w:rFonts w:hint="eastAsia" w:ascii="宋体" w:hAnsi="宋体"/>
          <w:sz w:val="28"/>
          <w:szCs w:val="28"/>
          <w:u w:val="single"/>
        </w:rPr>
        <w:t xml:space="preserve">     </w:t>
      </w:r>
      <w:r>
        <w:rPr>
          <w:rFonts w:hint="eastAsia" w:ascii="宋体" w:hAnsi="宋体"/>
          <w:sz w:val="28"/>
          <w:szCs w:val="28"/>
        </w:rPr>
        <w:t>月</w:t>
      </w:r>
      <w:r>
        <w:rPr>
          <w:rFonts w:hint="eastAsia" w:ascii="宋体" w:hAnsi="宋体"/>
          <w:sz w:val="28"/>
          <w:szCs w:val="28"/>
          <w:u w:val="single"/>
        </w:rPr>
        <w:t xml:space="preserve">    </w:t>
      </w:r>
      <w:r>
        <w:rPr>
          <w:rFonts w:hint="eastAsia" w:ascii="宋体" w:hAnsi="宋体"/>
          <w:sz w:val="28"/>
          <w:szCs w:val="28"/>
        </w:rPr>
        <w:t>日</w:t>
      </w:r>
      <w:r>
        <w:rPr>
          <w:rFonts w:hint="eastAsia"/>
          <w:sz w:val="28"/>
          <w:szCs w:val="28"/>
        </w:rPr>
        <w:t xml:space="preserve">            </w:t>
      </w:r>
      <w:r>
        <w:rPr>
          <w:rFonts w:hint="eastAsia"/>
          <w:sz w:val="24"/>
        </w:rPr>
        <w:t xml:space="preserve">                    </w:t>
      </w:r>
    </w:p>
    <w:p>
      <w:pPr>
        <w:jc w:val="center"/>
        <w:rPr>
          <w:rFonts w:ascii="黑体" w:eastAsia="黑体"/>
          <w:kern w:val="0"/>
          <w:sz w:val="32"/>
        </w:rPr>
      </w:pPr>
      <w:r>
        <w:rPr>
          <w:rFonts w:ascii="黑体" w:hAnsi="宋体" w:eastAsia="黑体"/>
        </w:rPr>
        <w:br w:type="page"/>
      </w:r>
      <w:r>
        <w:rPr>
          <w:rFonts w:hint="eastAsia" w:ascii="黑体" w:eastAsia="黑体"/>
          <w:kern w:val="0"/>
          <w:sz w:val="32"/>
        </w:rPr>
        <w:t>二、投标及履约承诺函</w:t>
      </w:r>
    </w:p>
    <w:p>
      <w:pPr>
        <w:spacing w:after="231" w:afterLines="50"/>
        <w:rPr>
          <w:rFonts w:ascii="宋体" w:hAnsi="宋体"/>
          <w:sz w:val="28"/>
          <w:szCs w:val="28"/>
        </w:rPr>
      </w:pPr>
      <w:r>
        <w:rPr>
          <w:rFonts w:hint="eastAsia" w:ascii="宋体" w:hAnsi="宋体"/>
          <w:sz w:val="28"/>
          <w:szCs w:val="28"/>
        </w:rPr>
        <w:t>致：深圳大学总医院</w:t>
      </w:r>
    </w:p>
    <w:p>
      <w:pPr>
        <w:spacing w:after="231" w:afterLines="50"/>
        <w:ind w:firstLine="548" w:firstLineChars="196"/>
        <w:rPr>
          <w:rFonts w:ascii="宋体" w:hAnsi="宋体"/>
          <w:sz w:val="28"/>
          <w:szCs w:val="28"/>
        </w:rPr>
      </w:pPr>
      <w:r>
        <w:rPr>
          <w:rFonts w:hint="eastAsia" w:ascii="宋体" w:hAnsi="宋体"/>
          <w:sz w:val="28"/>
          <w:szCs w:val="28"/>
        </w:rPr>
        <w:t>我单位承诺：</w:t>
      </w:r>
    </w:p>
    <w:p>
      <w:pPr>
        <w:spacing w:after="231" w:afterLines="50"/>
        <w:ind w:firstLine="548" w:firstLineChars="196"/>
        <w:rPr>
          <w:rFonts w:ascii="宋体" w:hAnsi="宋体"/>
          <w:sz w:val="28"/>
          <w:szCs w:val="28"/>
        </w:rPr>
      </w:pPr>
      <w:r>
        <w:rPr>
          <w:rFonts w:hint="eastAsia" w:ascii="宋体" w:hAnsi="宋体"/>
          <w:sz w:val="28"/>
          <w:szCs w:val="28"/>
        </w:rPr>
        <w:t>1.我单位本招标项目所提供的货物或服务未侵犯知识产权。</w:t>
      </w:r>
    </w:p>
    <w:p>
      <w:pPr>
        <w:spacing w:after="231" w:afterLines="50"/>
        <w:ind w:firstLine="548" w:firstLineChars="196"/>
        <w:rPr>
          <w:rFonts w:ascii="宋体" w:hAnsi="宋体"/>
          <w:sz w:val="28"/>
          <w:szCs w:val="28"/>
        </w:rPr>
      </w:pPr>
      <w:r>
        <w:rPr>
          <w:rFonts w:hint="eastAsia" w:ascii="宋体" w:hAnsi="宋体"/>
          <w:sz w:val="28"/>
          <w:szCs w:val="28"/>
        </w:rPr>
        <w:t>2.我单位参与本项目投标前三年内，在经营活动中没有重大违法记录。</w:t>
      </w:r>
    </w:p>
    <w:p>
      <w:pPr>
        <w:spacing w:after="231" w:afterLines="50"/>
        <w:ind w:firstLine="548" w:firstLineChars="196"/>
        <w:rPr>
          <w:rFonts w:ascii="宋体" w:hAnsi="宋体"/>
          <w:sz w:val="28"/>
          <w:szCs w:val="28"/>
        </w:rPr>
      </w:pPr>
      <w:r>
        <w:rPr>
          <w:rFonts w:hint="eastAsia" w:ascii="宋体" w:hAnsi="宋体"/>
          <w:sz w:val="28"/>
          <w:szCs w:val="28"/>
        </w:rPr>
        <w:t>3.我单位参与本项目采购活动时不存在被有关部门禁止参与政府采购活动且在有效期内的情况。</w:t>
      </w:r>
    </w:p>
    <w:p>
      <w:pPr>
        <w:spacing w:after="231" w:afterLines="50"/>
        <w:ind w:firstLine="548" w:firstLineChars="196"/>
        <w:rPr>
          <w:rFonts w:ascii="宋体" w:hAnsi="宋体"/>
          <w:sz w:val="28"/>
          <w:szCs w:val="28"/>
        </w:rPr>
      </w:pPr>
      <w:r>
        <w:rPr>
          <w:rFonts w:hint="eastAsia" w:ascii="宋体" w:hAnsi="宋体"/>
          <w:sz w:val="28"/>
          <w:szCs w:val="28"/>
        </w:rPr>
        <w:t>4.我单位具备《中华人民共和国政府采购法》第二十二条第一款规定的六项条件。</w:t>
      </w:r>
    </w:p>
    <w:p>
      <w:pPr>
        <w:spacing w:after="231" w:afterLines="50"/>
        <w:ind w:firstLine="548" w:firstLineChars="196"/>
        <w:rPr>
          <w:rFonts w:ascii="宋体" w:hAnsi="宋体"/>
          <w:sz w:val="28"/>
          <w:szCs w:val="28"/>
        </w:rPr>
      </w:pPr>
      <w:r>
        <w:rPr>
          <w:rFonts w:hint="eastAsia" w:ascii="宋体" w:hAnsi="宋体"/>
          <w:sz w:val="28"/>
          <w:szCs w:val="28"/>
        </w:rPr>
        <w:t>5.我单位未被列入失信被执行人、重大税收违法案件当事人名单、政府采购严重违法失信行为记录名单。</w:t>
      </w:r>
    </w:p>
    <w:p>
      <w:pPr>
        <w:ind w:firstLine="560" w:firstLineChars="200"/>
        <w:rPr>
          <w:rFonts w:ascii="宋体" w:hAnsi="宋体"/>
          <w:sz w:val="28"/>
          <w:szCs w:val="28"/>
        </w:rPr>
      </w:pPr>
      <w:r>
        <w:rPr>
          <w:rFonts w:hint="eastAsia" w:ascii="宋体" w:hAnsi="宋体"/>
          <w:sz w:val="28"/>
          <w:szCs w:val="28"/>
        </w:rPr>
        <w:t>6.我单位参与该项目投标，严格遵守政府采购相关法律，不造假，不围标、串标、陪标，不在开标后进行虚假恶意投诉。我单位已清楚，如违反上述要求，投标将作无效处理，被列入不良记录名单并在网上曝光，同时将被提请深圳大学总医院采购监督管理部门给予一定年限内禁止参与深圳大学总医院采购活动或其他处罚。</w:t>
      </w:r>
    </w:p>
    <w:p>
      <w:pPr>
        <w:spacing w:after="231" w:afterLines="50"/>
        <w:ind w:firstLine="548" w:firstLineChars="196"/>
        <w:rPr>
          <w:rFonts w:ascii="宋体" w:hAnsi="宋体"/>
          <w:sz w:val="28"/>
          <w:szCs w:val="28"/>
        </w:rPr>
      </w:pPr>
      <w:r>
        <w:rPr>
          <w:rFonts w:hint="eastAsia" w:ascii="宋体" w:hAnsi="宋体"/>
          <w:sz w:val="28"/>
          <w:szCs w:val="28"/>
        </w:rPr>
        <w:t>7.我单位如果中标，做到守信，不偷工减料，依照本项目招标文件需求内容、签署的采购合同及本单位在投标中所作的一切承诺履约。我单位对本项目的报价负责，中标后将严格按照本项目招标文件需求、签署的采购合同及我单位在投标中所作的全部承诺履行。</w:t>
      </w:r>
    </w:p>
    <w:p>
      <w:pPr>
        <w:spacing w:after="231" w:afterLines="50"/>
        <w:ind w:firstLine="548" w:firstLineChars="196"/>
        <w:rPr>
          <w:rFonts w:ascii="宋体" w:hAnsi="宋体"/>
          <w:sz w:val="28"/>
          <w:szCs w:val="28"/>
        </w:rPr>
      </w:pPr>
      <w:r>
        <w:rPr>
          <w:rFonts w:hint="eastAsia" w:ascii="宋体" w:hAnsi="宋体"/>
          <w:sz w:val="28"/>
          <w:szCs w:val="28"/>
        </w:rPr>
        <w:t>我单位清楚，若以“报价太低而无法履约”为理由放弃本项目中标资格时，愿意接受采购单位的处理处罚。若我单位中标本项目，我单位的报价明显低于其他投标人的报价时，我单位清楚，本项目将成为重点监管、重点验收项目，我单位将按时保质保量完成，并全力配合有关监管、验收工作；若我单位未按上述要求履约，我单位愿意接受采购单位的处理处罚。</w:t>
      </w:r>
    </w:p>
    <w:p>
      <w:pPr>
        <w:spacing w:after="231" w:afterLines="50"/>
        <w:ind w:firstLine="548" w:firstLineChars="196"/>
        <w:rPr>
          <w:rFonts w:ascii="宋体" w:hAnsi="宋体"/>
          <w:sz w:val="28"/>
          <w:szCs w:val="28"/>
        </w:rPr>
      </w:pPr>
      <w:r>
        <w:rPr>
          <w:rFonts w:ascii="宋体" w:hAnsi="宋体"/>
          <w:sz w:val="28"/>
          <w:szCs w:val="28"/>
        </w:rPr>
        <w:t>8</w:t>
      </w:r>
      <w:r>
        <w:rPr>
          <w:rFonts w:hint="eastAsia" w:ascii="宋体" w:hAnsi="宋体"/>
          <w:sz w:val="28"/>
          <w:szCs w:val="28"/>
        </w:rPr>
        <w:t>.我单位已认真核实了投标文件的全部内容，所有资料均为真实资料。我单位对投标文件中全部投标资料的真实性负责，如被证实我单位的投标文件中存在虚假资料的，则视为我单位隐瞒真实情况、提供虚假资料，我单位愿意接受主管部门作出的行政处罚。</w:t>
      </w:r>
    </w:p>
    <w:p>
      <w:pPr>
        <w:spacing w:after="231" w:afterLines="50"/>
        <w:ind w:firstLine="548" w:firstLineChars="196"/>
        <w:rPr>
          <w:rFonts w:ascii="宋体" w:hAnsi="宋体"/>
          <w:sz w:val="28"/>
          <w:szCs w:val="28"/>
        </w:rPr>
      </w:pPr>
      <w:r>
        <w:rPr>
          <w:rFonts w:ascii="宋体" w:hAnsi="宋体"/>
          <w:sz w:val="28"/>
          <w:szCs w:val="28"/>
        </w:rPr>
        <w:t>9</w:t>
      </w:r>
      <w:r>
        <w:rPr>
          <w:rFonts w:hint="eastAsia" w:ascii="宋体" w:hAnsi="宋体"/>
          <w:sz w:val="28"/>
          <w:szCs w:val="28"/>
        </w:rPr>
        <w:t>.我单位承诺中标后项目不转包，未经采购人同意不进行分包。</w:t>
      </w:r>
    </w:p>
    <w:p>
      <w:pPr>
        <w:spacing w:after="231" w:afterLines="50"/>
        <w:ind w:firstLine="548" w:firstLineChars="196"/>
        <w:rPr>
          <w:rFonts w:ascii="宋体" w:hAnsi="宋体"/>
          <w:sz w:val="28"/>
          <w:szCs w:val="28"/>
        </w:rPr>
      </w:pPr>
      <w:r>
        <w:rPr>
          <w:rFonts w:hint="eastAsia" w:ascii="宋体" w:hAnsi="宋体"/>
          <w:sz w:val="28"/>
          <w:szCs w:val="28"/>
        </w:rPr>
        <w:t>1</w:t>
      </w:r>
      <w:r>
        <w:rPr>
          <w:rFonts w:ascii="宋体" w:hAnsi="宋体"/>
          <w:sz w:val="28"/>
          <w:szCs w:val="28"/>
        </w:rPr>
        <w:t>0.</w:t>
      </w:r>
      <w:r>
        <w:rPr>
          <w:rFonts w:hint="eastAsia" w:ascii="宋体" w:hAnsi="宋体"/>
          <w:sz w:val="28"/>
          <w:szCs w:val="28"/>
        </w:rPr>
        <w:t>我单位响应的服务期满足本项目招标文件的要求。</w:t>
      </w:r>
    </w:p>
    <w:p>
      <w:pPr>
        <w:spacing w:after="231" w:afterLines="50"/>
        <w:ind w:firstLine="548" w:firstLineChars="196"/>
        <w:rPr>
          <w:rFonts w:ascii="宋体" w:hAnsi="宋体"/>
          <w:sz w:val="28"/>
          <w:szCs w:val="28"/>
        </w:rPr>
      </w:pPr>
      <w:r>
        <w:rPr>
          <w:rFonts w:hint="eastAsia" w:ascii="宋体" w:hAnsi="宋体"/>
          <w:sz w:val="28"/>
          <w:szCs w:val="28"/>
        </w:rPr>
        <w:t>11.我单位保证，不存在“单位负责人为同一人或者存在直接控股、管理关系的不同供应商，不得参加同一合同项下的采购活动；为采购项目提供整体设计、规范编制或者项目管理、监理、检测等服务的供应商，不得再参加该采购项目的其他采购活动”的情形。</w:t>
      </w:r>
    </w:p>
    <w:p>
      <w:pPr>
        <w:jc w:val="center"/>
        <w:rPr>
          <w:rFonts w:ascii="黑体" w:hAnsi="宋体" w:eastAsia="黑体"/>
        </w:rPr>
      </w:pPr>
    </w:p>
    <w:p>
      <w:pPr>
        <w:wordWrap w:val="0"/>
        <w:ind w:firstLine="645"/>
        <w:jc w:val="right"/>
        <w:rPr>
          <w:rFonts w:ascii="宋体" w:hAnsi="宋体"/>
          <w:sz w:val="28"/>
          <w:szCs w:val="28"/>
        </w:rPr>
      </w:pPr>
    </w:p>
    <w:p>
      <w:pPr>
        <w:ind w:firstLine="645"/>
        <w:jc w:val="right"/>
        <w:rPr>
          <w:rFonts w:ascii="宋体" w:hAnsi="宋体"/>
          <w:sz w:val="28"/>
          <w:szCs w:val="28"/>
        </w:rPr>
      </w:pPr>
    </w:p>
    <w:p>
      <w:pPr>
        <w:ind w:firstLine="645"/>
        <w:jc w:val="right"/>
        <w:rPr>
          <w:rFonts w:ascii="宋体" w:hAnsi="宋体"/>
          <w:sz w:val="28"/>
          <w:szCs w:val="28"/>
        </w:rPr>
      </w:pPr>
      <w:r>
        <w:rPr>
          <w:rFonts w:hint="eastAsia" w:ascii="宋体" w:hAnsi="宋体"/>
          <w:sz w:val="28"/>
          <w:szCs w:val="28"/>
        </w:rPr>
        <w:t>法定代表人或其委托代理人：              （签字或签章）</w:t>
      </w:r>
    </w:p>
    <w:p>
      <w:pPr>
        <w:ind w:firstLine="645"/>
        <w:jc w:val="right"/>
        <w:rPr>
          <w:rFonts w:ascii="宋体" w:hAnsi="宋体"/>
          <w:sz w:val="28"/>
          <w:szCs w:val="28"/>
        </w:rPr>
      </w:pPr>
    </w:p>
    <w:p>
      <w:pPr>
        <w:wordWrap w:val="0"/>
        <w:ind w:firstLine="645"/>
        <w:jc w:val="right"/>
        <w:rPr>
          <w:rFonts w:ascii="宋体" w:hAnsi="宋体"/>
          <w:sz w:val="28"/>
          <w:szCs w:val="28"/>
        </w:rPr>
      </w:pPr>
      <w:r>
        <w:rPr>
          <w:rFonts w:hint="eastAsia" w:ascii="宋体" w:hAnsi="宋体"/>
          <w:sz w:val="28"/>
          <w:szCs w:val="28"/>
        </w:rPr>
        <w:t xml:space="preserve">公司名称：                                   （盖章）   </w:t>
      </w:r>
    </w:p>
    <w:p>
      <w:pPr>
        <w:pStyle w:val="22"/>
        <w:ind w:firstLine="560" w:firstLineChars="200"/>
        <w:rPr>
          <w:rFonts w:ascii="宋体"/>
          <w:b w:val="0"/>
          <w:sz w:val="28"/>
          <w:szCs w:val="28"/>
        </w:rPr>
      </w:pPr>
      <w:r>
        <w:rPr>
          <w:rFonts w:hint="eastAsia" w:ascii="宋体"/>
          <w:b w:val="0"/>
          <w:sz w:val="28"/>
          <w:szCs w:val="28"/>
        </w:rPr>
        <w:t xml:space="preserve">                                          </w:t>
      </w:r>
      <w:r>
        <w:rPr>
          <w:rFonts w:ascii="宋体"/>
          <w:b w:val="0"/>
          <w:sz w:val="28"/>
          <w:szCs w:val="28"/>
        </w:rPr>
        <w:t xml:space="preserve"> </w:t>
      </w:r>
      <w:r>
        <w:rPr>
          <w:rFonts w:hint="eastAsia" w:ascii="宋体"/>
          <w:b w:val="0"/>
          <w:sz w:val="28"/>
          <w:szCs w:val="28"/>
        </w:rPr>
        <w:t>年   月   日</w:t>
      </w:r>
    </w:p>
    <w:p>
      <w:pPr>
        <w:spacing w:line="360" w:lineRule="auto"/>
        <w:ind w:firstLine="420" w:firstLineChars="200"/>
        <w:rPr>
          <w:rFonts w:ascii="宋体" w:hAnsi="宋体"/>
          <w:b/>
          <w:bCs/>
          <w:color w:val="FF0000"/>
          <w:sz w:val="24"/>
        </w:rPr>
      </w:pPr>
      <w:r>
        <w:rPr>
          <w:rFonts w:ascii="宋体"/>
          <w:szCs w:val="21"/>
        </w:rPr>
        <w:br w:type="page"/>
      </w:r>
    </w:p>
    <w:p>
      <w:pPr>
        <w:jc w:val="left"/>
        <w:rPr>
          <w:b/>
          <w:sz w:val="32"/>
          <w:szCs w:val="32"/>
        </w:rPr>
      </w:pPr>
      <w:r>
        <w:rPr>
          <w:rFonts w:hint="eastAsia"/>
          <w:b/>
          <w:sz w:val="32"/>
          <w:szCs w:val="32"/>
        </w:rPr>
        <w:t>其它内容格式自定：</w:t>
      </w:r>
    </w:p>
    <w:p/>
    <w:p>
      <w:pPr>
        <w:pStyle w:val="3"/>
        <w:jc w:val="center"/>
        <w:rPr>
          <w:rFonts w:ascii="黑体" w:eastAsia="黑体"/>
          <w:b w:val="0"/>
          <w:sz w:val="32"/>
        </w:rPr>
      </w:pPr>
      <w:bookmarkStart w:id="18" w:name="_Toc81899417"/>
      <w:r>
        <w:rPr>
          <w:rFonts w:hint="eastAsia" w:ascii="黑体" w:eastAsia="黑体"/>
          <w:b w:val="0"/>
          <w:sz w:val="32"/>
        </w:rPr>
        <w:t>三、投标人情况介绍</w:t>
      </w:r>
      <w:bookmarkEnd w:id="18"/>
    </w:p>
    <w:p>
      <w:pPr>
        <w:outlineLvl w:val="3"/>
        <w:rPr>
          <w:b/>
          <w:bCs/>
          <w:sz w:val="24"/>
        </w:rPr>
      </w:pPr>
      <w:r>
        <w:rPr>
          <w:rFonts w:hint="eastAsia"/>
          <w:b/>
          <w:bCs/>
          <w:sz w:val="24"/>
        </w:rPr>
        <w:t>（一）投标人</w:t>
      </w:r>
      <w:r>
        <w:rPr>
          <w:rFonts w:hint="eastAsia"/>
          <w:b/>
          <w:sz w:val="24"/>
        </w:rPr>
        <w:t>资格证明文件</w:t>
      </w:r>
    </w:p>
    <w:p>
      <w:pPr>
        <w:spacing w:before="231" w:beforeLines="50" w:line="360" w:lineRule="auto"/>
        <w:rPr>
          <w:b/>
          <w:bCs/>
          <w:color w:val="FF0000"/>
          <w:sz w:val="24"/>
        </w:rPr>
      </w:pPr>
      <w:r>
        <w:rPr>
          <w:rFonts w:hint="eastAsia"/>
          <w:b/>
          <w:bCs/>
          <w:color w:val="FF0000"/>
          <w:sz w:val="24"/>
          <w:szCs w:val="24"/>
        </w:rPr>
        <w:t>（特别提示：投标人须按本招标文件第一册 第一章招标公告第四条“投标人资格要求”提供相关的资格证明，未提供或提供不完整、不符合要求的，将按投标</w:t>
      </w:r>
      <w:r>
        <w:rPr>
          <w:b/>
          <w:bCs/>
          <w:color w:val="FF0000"/>
          <w:sz w:val="24"/>
          <w:szCs w:val="24"/>
        </w:rPr>
        <w:t>无效</w:t>
      </w:r>
      <w:r>
        <w:rPr>
          <w:rFonts w:hint="eastAsia"/>
          <w:b/>
          <w:bCs/>
          <w:color w:val="FF0000"/>
          <w:sz w:val="24"/>
          <w:szCs w:val="24"/>
        </w:rPr>
        <w:t>处理。）</w:t>
      </w:r>
    </w:p>
    <w:p>
      <w:pPr>
        <w:spacing w:before="231" w:beforeLines="50"/>
        <w:rPr>
          <w:b/>
          <w:bCs/>
          <w:color w:val="FF0000"/>
        </w:rPr>
      </w:pPr>
    </w:p>
    <w:p>
      <w:pPr>
        <w:outlineLvl w:val="3"/>
        <w:rPr>
          <w:b/>
          <w:sz w:val="24"/>
        </w:rPr>
      </w:pPr>
      <w:r>
        <w:rPr>
          <w:rFonts w:hint="eastAsia"/>
          <w:b/>
          <w:sz w:val="24"/>
        </w:rPr>
        <w:t>（二）中小企业声明函、残疾人福利性单位声明函及监狱企业声明函</w:t>
      </w:r>
    </w:p>
    <w:p>
      <w:pPr>
        <w:rPr>
          <w:color w:val="FF0000"/>
        </w:rPr>
      </w:pPr>
      <w:r>
        <w:rPr>
          <w:rFonts w:hint="eastAsia"/>
          <w:color w:val="FF0000"/>
        </w:rPr>
        <w:t>填写指引：</w:t>
      </w:r>
    </w:p>
    <w:p>
      <w:pPr>
        <w:rPr>
          <w:color w:val="FF0000"/>
        </w:rPr>
      </w:pPr>
      <w:r>
        <w:rPr>
          <w:rFonts w:hint="eastAsia"/>
          <w:color w:val="FF0000"/>
        </w:rPr>
        <w:t>1、该部分内容由投标人根据自身实际情况填写，不符合要求的投标人可以不填写或直接删除相应的声明函。投标人提供的声明函不属实的，属于提供虚假资料谋取中标，依照《中华人民共和国政府采购法》等国家有关规定追究相应责任。</w:t>
      </w:r>
    </w:p>
    <w:p>
      <w:pPr>
        <w:rPr>
          <w:color w:val="FF0000"/>
        </w:rPr>
      </w:pPr>
      <w:r>
        <w:rPr>
          <w:rFonts w:hint="eastAsia"/>
          <w:color w:val="FF0000"/>
        </w:rPr>
        <w:t>2、该部分内容填写需要参考的相关文件：(</w:t>
      </w:r>
      <w:r>
        <w:rPr>
          <w:color w:val="FF0000"/>
        </w:rPr>
        <w:t>1</w:t>
      </w:r>
      <w:r>
        <w:rPr>
          <w:rFonts w:hint="eastAsia"/>
          <w:color w:val="FF0000"/>
        </w:rPr>
        <w:t>)财政部《政府采购促进中小企业发展管理办法》（财库〔2020〕46号）；(</w:t>
      </w:r>
      <w:r>
        <w:rPr>
          <w:color w:val="FF0000"/>
        </w:rPr>
        <w:t>2</w:t>
      </w:r>
      <w:r>
        <w:rPr>
          <w:rFonts w:hint="eastAsia"/>
          <w:color w:val="FF0000"/>
        </w:rPr>
        <w:t>)</w:t>
      </w:r>
      <w:bookmarkStart w:id="19" w:name="_Hlk71925120"/>
      <w:r>
        <w:rPr>
          <w:rFonts w:hint="eastAsia"/>
          <w:color w:val="FF0000"/>
        </w:rPr>
        <w:t>《工业和信息化部、国家统计局、国家发展和改革委员会、财政部关于印发中小企业划型标准规定的通知》（工信部联企业〔2011〕300 号</w:t>
      </w:r>
      <w:bookmarkEnd w:id="19"/>
      <w:r>
        <w:rPr>
          <w:rFonts w:hint="eastAsia"/>
          <w:color w:val="FF0000"/>
        </w:rPr>
        <w:t>，以下简称3</w:t>
      </w:r>
      <w:r>
        <w:rPr>
          <w:color w:val="FF0000"/>
        </w:rPr>
        <w:t>00</w:t>
      </w:r>
      <w:r>
        <w:rPr>
          <w:rFonts w:hint="eastAsia"/>
          <w:color w:val="FF0000"/>
        </w:rPr>
        <w:t>号文）。</w:t>
      </w:r>
    </w:p>
    <w:p>
      <w:pPr>
        <w:rPr>
          <w:color w:val="FF0000"/>
        </w:rPr>
      </w:pPr>
      <w:r>
        <w:rPr>
          <w:rFonts w:hint="eastAsia"/>
          <w:color w:val="FF0000"/>
        </w:rPr>
        <w:t>3、请依照提供的格式和内容填写声明函，不要随意变更格式；声明函不需要盖章或签字；满足多项优惠政策的投标人，不重复享受多项价格扣除政策。</w:t>
      </w:r>
    </w:p>
    <w:p>
      <w:pPr>
        <w:rPr>
          <w:color w:val="FF0000"/>
        </w:rPr>
      </w:pPr>
      <w:r>
        <w:rPr>
          <w:rFonts w:hint="eastAsia"/>
          <w:color w:val="FF0000"/>
        </w:rPr>
        <w:t>4、声明函具体填写要求：</w:t>
      </w:r>
    </w:p>
    <w:p>
      <w:pPr>
        <w:rPr>
          <w:color w:val="FF0000"/>
        </w:rPr>
      </w:pPr>
      <w:r>
        <w:rPr>
          <w:rFonts w:hint="eastAsia"/>
          <w:color w:val="FF0000"/>
        </w:rPr>
        <w:t>（1）声明是中小企业须填写《中小企业声明函》的以下内容：</w:t>
      </w:r>
    </w:p>
    <w:p>
      <w:pPr>
        <w:rPr>
          <w:color w:val="FF0000"/>
        </w:rPr>
      </w:pPr>
      <w:r>
        <w:rPr>
          <w:rFonts w:hint="eastAsia"/>
          <w:color w:val="FF0000"/>
        </w:rPr>
        <w:t>第一处，在“单位名称”下划线处如实填写采购人名称；</w:t>
      </w:r>
    </w:p>
    <w:p>
      <w:pPr>
        <w:rPr>
          <w:color w:val="FF0000"/>
        </w:rPr>
      </w:pPr>
      <w:r>
        <w:rPr>
          <w:rFonts w:hint="eastAsia"/>
          <w:color w:val="FF0000"/>
        </w:rPr>
        <w:t>第二处，在“项目名称”下划线处如实填写采购项目名称；</w:t>
      </w:r>
    </w:p>
    <w:p>
      <w:pPr>
        <w:rPr>
          <w:rFonts w:ascii="黑体" w:hAnsi="宋体" w:eastAsia="黑体"/>
          <w:bCs/>
          <w:color w:val="FF0000"/>
          <w:kern w:val="0"/>
          <w:szCs w:val="21"/>
        </w:rPr>
      </w:pPr>
      <w:r>
        <w:rPr>
          <w:rFonts w:hint="eastAsia"/>
          <w:color w:val="FF0000"/>
        </w:rPr>
        <w:t>第三处，在“标的名称”下划线处填写所采购服务（标的）的具体名称；</w:t>
      </w:r>
      <w:r>
        <w:rPr>
          <w:rFonts w:hint="eastAsia" w:ascii="黑体" w:hAnsi="宋体" w:eastAsia="黑体"/>
          <w:bCs/>
          <w:color w:val="FF0000"/>
          <w:kern w:val="0"/>
          <w:szCs w:val="21"/>
        </w:rPr>
        <w:t>如果涉及多个服务需求（标的）由同一企业承接，“标的名称”下划线处可以如实填写多个服务需求（标的）；</w:t>
      </w:r>
    </w:p>
    <w:p>
      <w:pPr>
        <w:rPr>
          <w:color w:val="FF0000"/>
        </w:rPr>
      </w:pPr>
      <w:r>
        <w:rPr>
          <w:rFonts w:hint="eastAsia"/>
          <w:color w:val="FF0000"/>
        </w:rPr>
        <w:t>第四处，在“招标文件中明确的所属行业”下划线处填写采购标的对应的中小企业划分标准所属行业（所属行业可在招标文件“其他关键信息”中查看）；</w:t>
      </w:r>
    </w:p>
    <w:p>
      <w:pPr>
        <w:rPr>
          <w:color w:val="FF0000"/>
        </w:rPr>
      </w:pPr>
      <w:r>
        <w:rPr>
          <w:rFonts w:hint="eastAsia"/>
          <w:color w:val="FF0000"/>
        </w:rPr>
        <w:t>第五处，在“企业名称”下划线处如实填写制造商名称；在“从业人员”、“营业收入”、“资产总额”下划线处如实填写从业人员、营业收入、资产总额；在“中型企业、小型企业、微型企业”下划线处如实依照300号文填写相应的企业类型；从业人员、营业收入、资产总额填报上一年度数据，无上一年度数据的新成立企业可以不填报。</w:t>
      </w:r>
    </w:p>
    <w:p>
      <w:pPr>
        <w:rPr>
          <w:color w:val="FF0000"/>
        </w:rPr>
      </w:pPr>
      <w:r>
        <w:rPr>
          <w:rFonts w:hint="eastAsia"/>
          <w:color w:val="FF0000"/>
        </w:rPr>
        <w:t>（2）声明是残疾人福利性单位须填写《残疾人福利性单位声明函》的相关内容，具体参照以上《中小企业声明函》填写要求执行。</w:t>
      </w:r>
    </w:p>
    <w:p>
      <w:pPr>
        <w:rPr>
          <w:color w:val="FF0000"/>
        </w:rPr>
      </w:pPr>
      <w:r>
        <w:rPr>
          <w:rFonts w:hint="eastAsia"/>
          <w:color w:val="FF0000"/>
        </w:rPr>
        <w:t>（3）声明是监狱企业须填写《监狱企业声明函》的三项内容（填写位置的字体已加粗），具体参照以上《中小企业声明函》填写要求执行。</w:t>
      </w:r>
    </w:p>
    <w:p>
      <w:r>
        <w:rPr>
          <w:rFonts w:hint="eastAsia"/>
          <w:color w:val="FF0000"/>
        </w:rPr>
        <w:t>5、声明函的有效性最终由评审委员会判定；如评审委员会判定声明函无效，相关供应商不享受价格扣除（但不作投标无效处理）。</w:t>
      </w:r>
    </w:p>
    <w:p>
      <w:pPr>
        <w:ind w:firstLine="420" w:firstLineChars="200"/>
      </w:pPr>
    </w:p>
    <w:p>
      <w:pPr>
        <w:jc w:val="center"/>
        <w:rPr>
          <w:b/>
          <w:sz w:val="24"/>
        </w:rPr>
      </w:pPr>
      <w:r>
        <w:rPr>
          <w:rFonts w:hint="eastAsia"/>
          <w:b/>
          <w:sz w:val="24"/>
        </w:rPr>
        <w:t>1、</w:t>
      </w:r>
      <w:r>
        <w:rPr>
          <w:b/>
          <w:sz w:val="24"/>
        </w:rPr>
        <w:t>中小企业声明函（</w:t>
      </w:r>
      <w:r>
        <w:rPr>
          <w:rFonts w:hint="eastAsia"/>
          <w:b/>
          <w:sz w:val="24"/>
        </w:rPr>
        <w:t>服务</w:t>
      </w:r>
      <w:r>
        <w:rPr>
          <w:b/>
          <w:sz w:val="24"/>
        </w:rPr>
        <w:t xml:space="preserve">） </w:t>
      </w:r>
    </w:p>
    <w:p>
      <w:pPr>
        <w:ind w:firstLine="420" w:firstLineChars="200"/>
        <w:rPr>
          <w:rFonts w:ascii="宋体" w:hAnsi="宋体"/>
          <w:szCs w:val="21"/>
        </w:rPr>
      </w:pPr>
      <w:r>
        <w:rPr>
          <w:rFonts w:ascii="宋体" w:hAnsi="宋体" w:cs="Times New Roman"/>
          <w:szCs w:val="21"/>
        </w:rPr>
        <w:t>本</w:t>
      </w:r>
      <w:r>
        <w:rPr>
          <w:rFonts w:hint="eastAsia" w:ascii="宋体" w:hAnsi="宋体" w:cs="Times New Roman"/>
          <w:szCs w:val="21"/>
        </w:rPr>
        <w:t>投标人</w:t>
      </w:r>
      <w:r>
        <w:rPr>
          <w:rFonts w:ascii="宋体" w:hAnsi="宋体" w:cs="Times New Roman"/>
          <w:szCs w:val="21"/>
        </w:rPr>
        <w:t>郑重声明，根据《政府采购促进中小企业发展管理办法》（财库</w:t>
      </w:r>
      <w:r>
        <w:rPr>
          <w:rFonts w:hint="eastAsia" w:ascii="宋体" w:hAnsi="宋体" w:cs="微软雅黑"/>
          <w:szCs w:val="21"/>
        </w:rPr>
        <w:t>﹝</w:t>
      </w:r>
      <w:r>
        <w:rPr>
          <w:rFonts w:ascii="宋体" w:hAnsi="宋体" w:cs="Times New Roman"/>
          <w:szCs w:val="21"/>
        </w:rPr>
        <w:t>2020</w:t>
      </w:r>
      <w:r>
        <w:rPr>
          <w:rFonts w:hint="eastAsia" w:ascii="宋体" w:hAnsi="宋体" w:cs="微软雅黑"/>
          <w:szCs w:val="21"/>
        </w:rPr>
        <w:t>﹞</w:t>
      </w:r>
      <w:r>
        <w:rPr>
          <w:rFonts w:ascii="宋体" w:hAnsi="宋体" w:cs="Times New Roman"/>
          <w:szCs w:val="21"/>
        </w:rPr>
        <w:t>46 号）的规定，本</w:t>
      </w:r>
      <w:r>
        <w:rPr>
          <w:rFonts w:hint="eastAsia" w:ascii="宋体" w:hAnsi="宋体" w:cs="Times New Roman"/>
          <w:szCs w:val="21"/>
        </w:rPr>
        <w:t>投标人</w:t>
      </w:r>
      <w:r>
        <w:rPr>
          <w:rFonts w:ascii="宋体" w:hAnsi="宋体" w:cs="Times New Roman"/>
          <w:szCs w:val="21"/>
        </w:rPr>
        <w:t>参加</w:t>
      </w:r>
      <w:r>
        <w:rPr>
          <w:rFonts w:hint="eastAsia" w:ascii="宋体" w:hAnsi="宋体" w:cs="Times New Roman"/>
          <w:szCs w:val="21"/>
        </w:rPr>
        <w:t xml:space="preserve"> </w:t>
      </w:r>
      <w:r>
        <w:rPr>
          <w:rFonts w:hint="eastAsia" w:ascii="宋体" w:hAnsi="宋体"/>
          <w:b/>
          <w:bCs/>
          <w:szCs w:val="21"/>
          <w:u w:val="single"/>
        </w:rPr>
        <w:t xml:space="preserve">深圳大学总医院 </w:t>
      </w:r>
      <w:r>
        <w:rPr>
          <w:rFonts w:ascii="宋体" w:hAnsi="宋体"/>
          <w:szCs w:val="21"/>
        </w:rPr>
        <w:t>的</w:t>
      </w:r>
      <w:r>
        <w:rPr>
          <w:rFonts w:ascii="宋体" w:hAnsi="宋体"/>
          <w:b/>
          <w:bCs/>
          <w:szCs w:val="21"/>
          <w:u w:val="single"/>
        </w:rPr>
        <w:t>（项目名称）</w:t>
      </w:r>
      <w:r>
        <w:rPr>
          <w:rFonts w:ascii="宋体" w:hAnsi="宋体"/>
          <w:szCs w:val="21"/>
        </w:rPr>
        <w:t>采购活动，提供的</w:t>
      </w:r>
      <w:r>
        <w:rPr>
          <w:rFonts w:hint="eastAsia" w:ascii="宋体" w:hAnsi="宋体"/>
          <w:szCs w:val="21"/>
        </w:rPr>
        <w:t>服务</w:t>
      </w:r>
      <w:r>
        <w:rPr>
          <w:rFonts w:ascii="宋体" w:hAnsi="宋体"/>
          <w:szCs w:val="21"/>
        </w:rPr>
        <w:t>全部由符合政策要求的中小企业制造。相关企业的具体情况如下：</w:t>
      </w:r>
    </w:p>
    <w:p>
      <w:pPr>
        <w:ind w:firstLine="420" w:firstLineChars="200"/>
        <w:rPr>
          <w:rFonts w:ascii="宋体" w:hAnsi="宋体"/>
          <w:szCs w:val="21"/>
        </w:rPr>
      </w:pPr>
      <w:r>
        <w:rPr>
          <w:rFonts w:ascii="宋体" w:hAnsi="宋体"/>
          <w:szCs w:val="21"/>
        </w:rPr>
        <w:t>1.</w:t>
      </w:r>
      <w:r>
        <w:rPr>
          <w:rFonts w:ascii="宋体" w:hAnsi="宋体"/>
          <w:b/>
          <w:bCs/>
          <w:szCs w:val="21"/>
          <w:u w:val="single"/>
        </w:rPr>
        <w:t xml:space="preserve"> （标的名称）</w:t>
      </w:r>
      <w:r>
        <w:rPr>
          <w:rFonts w:ascii="宋体" w:hAnsi="宋体"/>
          <w:szCs w:val="21"/>
        </w:rPr>
        <w:t xml:space="preserve"> ，属于</w:t>
      </w:r>
      <w:r>
        <w:rPr>
          <w:rFonts w:ascii="宋体" w:hAnsi="宋体"/>
          <w:b/>
          <w:bCs/>
          <w:szCs w:val="21"/>
          <w:u w:val="single"/>
        </w:rPr>
        <w:t>（</w:t>
      </w:r>
      <w:r>
        <w:rPr>
          <w:rFonts w:hint="eastAsia" w:ascii="宋体" w:hAnsi="宋体"/>
          <w:b/>
          <w:bCs/>
          <w:szCs w:val="21"/>
          <w:u w:val="single"/>
        </w:rPr>
        <w:t>招标</w:t>
      </w:r>
      <w:r>
        <w:rPr>
          <w:rFonts w:ascii="宋体" w:hAnsi="宋体"/>
          <w:b/>
          <w:bCs/>
          <w:szCs w:val="21"/>
          <w:u w:val="single"/>
        </w:rPr>
        <w:t xml:space="preserve">文件中明确的所属行业） </w:t>
      </w:r>
      <w:r>
        <w:rPr>
          <w:rFonts w:ascii="宋体" w:hAnsi="宋体"/>
          <w:szCs w:val="21"/>
        </w:rPr>
        <w:t>行业；制造商为</w:t>
      </w:r>
      <w:r>
        <w:rPr>
          <w:rFonts w:ascii="宋体" w:hAnsi="宋体"/>
          <w:b/>
          <w:bCs/>
          <w:szCs w:val="21"/>
          <w:u w:val="single"/>
        </w:rPr>
        <w:t>（企业名称）</w:t>
      </w:r>
      <w:r>
        <w:rPr>
          <w:rFonts w:ascii="宋体" w:hAnsi="宋体"/>
          <w:szCs w:val="21"/>
        </w:rPr>
        <w:t>，从业人员人，营业收入为万元，资产总额为万元 ，属于</w:t>
      </w:r>
      <w:r>
        <w:rPr>
          <w:rFonts w:ascii="宋体" w:hAnsi="宋体"/>
          <w:b/>
          <w:bCs/>
          <w:szCs w:val="21"/>
          <w:u w:val="single"/>
        </w:rPr>
        <w:t>（中型企业、小型企业、微型企业）</w:t>
      </w:r>
      <w:r>
        <w:rPr>
          <w:rFonts w:ascii="宋体" w:hAnsi="宋体"/>
          <w:szCs w:val="21"/>
        </w:rPr>
        <w:t xml:space="preserve">； </w:t>
      </w:r>
    </w:p>
    <w:p>
      <w:pPr>
        <w:ind w:firstLine="420" w:firstLineChars="200"/>
        <w:rPr>
          <w:rFonts w:ascii="宋体" w:hAnsi="宋体"/>
          <w:szCs w:val="21"/>
          <w:u w:val="single"/>
        </w:rPr>
      </w:pPr>
      <w:r>
        <w:rPr>
          <w:rFonts w:ascii="宋体" w:hAnsi="宋体"/>
          <w:szCs w:val="21"/>
        </w:rPr>
        <w:t>2.</w:t>
      </w:r>
      <w:r>
        <w:rPr>
          <w:rFonts w:ascii="宋体" w:hAnsi="宋体"/>
          <w:b/>
          <w:bCs/>
          <w:szCs w:val="21"/>
          <w:u w:val="single"/>
        </w:rPr>
        <w:t xml:space="preserve"> （标的名称）</w:t>
      </w:r>
      <w:r>
        <w:rPr>
          <w:rFonts w:ascii="宋体" w:hAnsi="宋体"/>
          <w:szCs w:val="21"/>
        </w:rPr>
        <w:t xml:space="preserve"> ，属于</w:t>
      </w:r>
      <w:r>
        <w:rPr>
          <w:rFonts w:ascii="宋体" w:hAnsi="宋体"/>
          <w:b/>
          <w:bCs/>
          <w:szCs w:val="21"/>
          <w:u w:val="single"/>
        </w:rPr>
        <w:t>（</w:t>
      </w:r>
      <w:r>
        <w:rPr>
          <w:rFonts w:hint="eastAsia" w:ascii="宋体" w:hAnsi="宋体"/>
          <w:b/>
          <w:bCs/>
          <w:szCs w:val="21"/>
          <w:u w:val="single"/>
        </w:rPr>
        <w:t>招标</w:t>
      </w:r>
      <w:r>
        <w:rPr>
          <w:rFonts w:ascii="宋体" w:hAnsi="宋体"/>
          <w:b/>
          <w:bCs/>
          <w:szCs w:val="21"/>
          <w:u w:val="single"/>
        </w:rPr>
        <w:t xml:space="preserve">文件中明确的所属行业） </w:t>
      </w:r>
      <w:r>
        <w:rPr>
          <w:rFonts w:ascii="宋体" w:hAnsi="宋体"/>
          <w:szCs w:val="21"/>
        </w:rPr>
        <w:t>行业；制造商为</w:t>
      </w:r>
      <w:r>
        <w:rPr>
          <w:rFonts w:ascii="宋体" w:hAnsi="宋体"/>
          <w:b/>
          <w:bCs/>
          <w:szCs w:val="21"/>
          <w:u w:val="single"/>
        </w:rPr>
        <w:t>（企业名称）</w:t>
      </w:r>
      <w:r>
        <w:rPr>
          <w:rFonts w:ascii="宋体" w:hAnsi="宋体"/>
          <w:szCs w:val="21"/>
        </w:rPr>
        <w:t>，从业人员人，营业收入为万元，资产总额为万元 ，属于</w:t>
      </w:r>
      <w:r>
        <w:rPr>
          <w:rFonts w:ascii="宋体" w:hAnsi="宋体"/>
          <w:b/>
          <w:bCs/>
          <w:szCs w:val="21"/>
          <w:u w:val="single"/>
        </w:rPr>
        <w:t>（中型企业、小型企业、微型企业）</w:t>
      </w:r>
      <w:r>
        <w:rPr>
          <w:rFonts w:hint="eastAsia" w:ascii="宋体" w:hAnsi="宋体"/>
          <w:szCs w:val="21"/>
        </w:rPr>
        <w:t>；</w:t>
      </w:r>
    </w:p>
    <w:p>
      <w:pPr>
        <w:ind w:firstLine="420" w:firstLineChars="200"/>
        <w:rPr>
          <w:rFonts w:ascii="宋体" w:hAnsi="宋体"/>
          <w:szCs w:val="21"/>
        </w:rPr>
      </w:pPr>
      <w:r>
        <w:rPr>
          <w:rFonts w:ascii="宋体" w:hAnsi="宋体"/>
          <w:szCs w:val="21"/>
        </w:rPr>
        <w:t xml:space="preserve">…… </w:t>
      </w:r>
    </w:p>
    <w:p>
      <w:pPr>
        <w:ind w:firstLine="420" w:firstLineChars="200"/>
        <w:rPr>
          <w:rFonts w:ascii="宋体" w:hAnsi="宋体"/>
          <w:szCs w:val="21"/>
        </w:rPr>
      </w:pPr>
      <w:r>
        <w:rPr>
          <w:rFonts w:ascii="宋体" w:hAnsi="宋体"/>
          <w:szCs w:val="21"/>
        </w:rPr>
        <w:t>以上企业，不属于大企业的分支机构，不存在控股股东为大企业的情形，也不存在与大企业的负责人为同一人的情形。</w:t>
      </w:r>
    </w:p>
    <w:p>
      <w:pPr>
        <w:ind w:firstLine="420" w:firstLineChars="200"/>
      </w:pPr>
      <w:bookmarkStart w:id="20" w:name="_Hlk73562203"/>
      <w:r>
        <w:rPr>
          <w:rFonts w:hint="eastAsia"/>
        </w:rPr>
        <w:t>本</w:t>
      </w:r>
      <w:r>
        <w:t>投标人已知悉《政府采购促进中小企业发展管理办法》（财库〔2020〕 46 号）、《中小企业划型标准规定》（工信部联企〔2011〕 300 号）、《统计上大中小微型企业划分办法（2017）》等规定，承诺提供的声明函内容是真实的，并知悉根据《政府采购促进中小企业发展管理办法》（财库〔2020〕46 号）第二十条规定，</w:t>
      </w:r>
      <w:r>
        <w:rPr>
          <w:rFonts w:hint="eastAsia"/>
        </w:rPr>
        <w:t>投标人</w:t>
      </w:r>
      <w:r>
        <w:t>按照本办法规定提供声明函内容不实的，属于提供虚假材料谋取中标，依照《政府采购法》等政府采购有关法律法规规定追究相应责任</w:t>
      </w:r>
      <w:r>
        <w:rPr>
          <w:rFonts w:hint="eastAsia"/>
        </w:rPr>
        <w:t>。</w:t>
      </w:r>
      <w:bookmarkEnd w:id="20"/>
    </w:p>
    <w:p>
      <w:pPr>
        <w:jc w:val="center"/>
        <w:rPr>
          <w:b/>
          <w:sz w:val="24"/>
        </w:rPr>
      </w:pPr>
    </w:p>
    <w:p>
      <w:pPr>
        <w:jc w:val="center"/>
        <w:rPr>
          <w:b/>
          <w:sz w:val="24"/>
        </w:rPr>
      </w:pPr>
      <w:r>
        <w:rPr>
          <w:rFonts w:hint="eastAsia"/>
          <w:b/>
          <w:sz w:val="24"/>
        </w:rPr>
        <w:t>2、残疾人福利性单位声明函（服务类）</w:t>
      </w:r>
    </w:p>
    <w:p>
      <w:pPr>
        <w:rPr>
          <w:b/>
          <w:bCs/>
        </w:rPr>
      </w:pPr>
    </w:p>
    <w:p>
      <w:pPr>
        <w:ind w:firstLine="420" w:firstLineChars="200"/>
        <w:rPr>
          <w:rFonts w:ascii="宋体" w:hAnsi="宋体"/>
          <w:szCs w:val="21"/>
        </w:rPr>
      </w:pPr>
      <w:r>
        <w:rPr>
          <w:rFonts w:ascii="宋体" w:hAnsi="宋体" w:cs="Times New Roman"/>
          <w:szCs w:val="21"/>
        </w:rPr>
        <w:t>本</w:t>
      </w:r>
      <w:r>
        <w:rPr>
          <w:rFonts w:hint="eastAsia" w:ascii="宋体" w:hAnsi="宋体" w:cs="Times New Roman"/>
          <w:szCs w:val="21"/>
        </w:rPr>
        <w:t>投标人</w:t>
      </w:r>
      <w:r>
        <w:rPr>
          <w:rFonts w:hint="eastAsia" w:ascii="宋体" w:hAnsi="宋体"/>
          <w:szCs w:val="21"/>
        </w:rPr>
        <w:t>郑重声明，根据《财政部民政部中国残疾人联合会关于促进残疾人就业政府采购政策的通知》（财库〔</w:t>
      </w:r>
      <w:r>
        <w:rPr>
          <w:rFonts w:ascii="宋体" w:hAnsi="宋体"/>
          <w:szCs w:val="21"/>
        </w:rPr>
        <w:t>2017</w:t>
      </w:r>
      <w:r>
        <w:rPr>
          <w:rFonts w:hint="eastAsia" w:ascii="宋体" w:hAnsi="宋体"/>
          <w:szCs w:val="21"/>
        </w:rPr>
        <w:t>〕</w:t>
      </w:r>
      <w:r>
        <w:rPr>
          <w:rFonts w:ascii="宋体" w:hAnsi="宋体"/>
          <w:szCs w:val="21"/>
        </w:rPr>
        <w:t xml:space="preserve">141 </w:t>
      </w:r>
      <w:r>
        <w:rPr>
          <w:rFonts w:hint="eastAsia" w:ascii="宋体" w:hAnsi="宋体"/>
          <w:szCs w:val="21"/>
        </w:rPr>
        <w:t>号）的规定，本投标人</w:t>
      </w:r>
      <w:r>
        <w:rPr>
          <w:rFonts w:ascii="宋体" w:hAnsi="宋体" w:cs="Times New Roman"/>
          <w:szCs w:val="21"/>
        </w:rPr>
        <w:t>参加</w:t>
      </w:r>
      <w:r>
        <w:rPr>
          <w:rFonts w:ascii="宋体" w:hAnsi="宋体"/>
          <w:b/>
          <w:bCs/>
          <w:szCs w:val="21"/>
          <w:u w:val="single"/>
        </w:rPr>
        <w:t>（</w:t>
      </w:r>
      <w:r>
        <w:rPr>
          <w:rFonts w:hint="eastAsia" w:ascii="宋体" w:hAnsi="宋体"/>
          <w:b/>
          <w:bCs/>
          <w:szCs w:val="21"/>
          <w:u w:val="single"/>
        </w:rPr>
        <w:t>采购人</w:t>
      </w:r>
      <w:r>
        <w:rPr>
          <w:rFonts w:ascii="宋体" w:hAnsi="宋体"/>
          <w:b/>
          <w:bCs/>
          <w:szCs w:val="21"/>
          <w:u w:val="single"/>
        </w:rPr>
        <w:t>名称）</w:t>
      </w:r>
      <w:r>
        <w:rPr>
          <w:rFonts w:ascii="宋体" w:hAnsi="宋体"/>
          <w:szCs w:val="21"/>
        </w:rPr>
        <w:t>的</w:t>
      </w:r>
      <w:r>
        <w:rPr>
          <w:rFonts w:ascii="宋体" w:hAnsi="宋体"/>
          <w:b/>
          <w:bCs/>
          <w:szCs w:val="21"/>
          <w:u w:val="single"/>
        </w:rPr>
        <w:t>（项目名称）</w:t>
      </w:r>
      <w:r>
        <w:rPr>
          <w:rFonts w:ascii="宋体" w:hAnsi="宋体"/>
          <w:szCs w:val="21"/>
        </w:rPr>
        <w:t>采购活动，提供的</w:t>
      </w:r>
      <w:r>
        <w:rPr>
          <w:rFonts w:hint="eastAsia" w:ascii="宋体" w:hAnsi="宋体"/>
          <w:szCs w:val="21"/>
        </w:rPr>
        <w:t>服务</w:t>
      </w:r>
      <w:r>
        <w:rPr>
          <w:rFonts w:ascii="宋体" w:hAnsi="宋体"/>
          <w:szCs w:val="21"/>
        </w:rPr>
        <w:t>全部由符合政策要求的</w:t>
      </w:r>
      <w:r>
        <w:rPr>
          <w:rFonts w:hint="eastAsia" w:ascii="宋体" w:hAnsi="宋体"/>
          <w:szCs w:val="21"/>
        </w:rPr>
        <w:t>残疾人福利性单位</w:t>
      </w:r>
      <w:r>
        <w:rPr>
          <w:rFonts w:ascii="宋体" w:hAnsi="宋体"/>
          <w:szCs w:val="21"/>
        </w:rPr>
        <w:t>制造。相关</w:t>
      </w:r>
      <w:r>
        <w:rPr>
          <w:rFonts w:hint="eastAsia" w:ascii="宋体" w:hAnsi="宋体"/>
          <w:szCs w:val="21"/>
        </w:rPr>
        <w:t>残疾人福利性单位</w:t>
      </w:r>
      <w:r>
        <w:rPr>
          <w:rFonts w:ascii="宋体" w:hAnsi="宋体"/>
          <w:szCs w:val="21"/>
        </w:rPr>
        <w:t>的具体情况如下：</w:t>
      </w:r>
    </w:p>
    <w:p>
      <w:pPr>
        <w:ind w:firstLine="420" w:firstLineChars="200"/>
        <w:rPr>
          <w:rFonts w:ascii="宋体" w:hAnsi="宋体"/>
          <w:szCs w:val="21"/>
        </w:rPr>
      </w:pPr>
      <w:r>
        <w:rPr>
          <w:rFonts w:ascii="宋体" w:hAnsi="宋体"/>
          <w:szCs w:val="21"/>
        </w:rPr>
        <w:t>1.</w:t>
      </w:r>
      <w:r>
        <w:rPr>
          <w:rFonts w:ascii="宋体" w:hAnsi="宋体"/>
          <w:b/>
          <w:bCs/>
          <w:szCs w:val="21"/>
          <w:u w:val="single"/>
        </w:rPr>
        <w:t xml:space="preserve"> （标的名称）</w:t>
      </w:r>
      <w:r>
        <w:rPr>
          <w:rFonts w:hint="eastAsia" w:ascii="宋体" w:hAnsi="宋体"/>
          <w:szCs w:val="21"/>
        </w:rPr>
        <w:t>，</w:t>
      </w:r>
      <w:r>
        <w:rPr>
          <w:rFonts w:ascii="宋体" w:hAnsi="宋体"/>
          <w:szCs w:val="21"/>
        </w:rPr>
        <w:t>制造商为</w:t>
      </w:r>
      <w:r>
        <w:rPr>
          <w:rFonts w:ascii="宋体" w:hAnsi="宋体"/>
          <w:b/>
          <w:bCs/>
          <w:szCs w:val="21"/>
          <w:u w:val="single"/>
        </w:rPr>
        <w:t>（</w:t>
      </w:r>
      <w:r>
        <w:rPr>
          <w:rFonts w:hint="eastAsia" w:ascii="宋体" w:hAnsi="宋体"/>
          <w:b/>
          <w:bCs/>
          <w:szCs w:val="21"/>
          <w:u w:val="single"/>
        </w:rPr>
        <w:t>单位</w:t>
      </w:r>
      <w:r>
        <w:rPr>
          <w:rFonts w:ascii="宋体" w:hAnsi="宋体"/>
          <w:b/>
          <w:bCs/>
          <w:szCs w:val="21"/>
          <w:u w:val="single"/>
        </w:rPr>
        <w:t>名称）</w:t>
      </w:r>
      <w:r>
        <w:rPr>
          <w:rFonts w:ascii="宋体" w:hAnsi="宋体"/>
          <w:szCs w:val="21"/>
        </w:rPr>
        <w:t>，属于</w:t>
      </w:r>
      <w:r>
        <w:rPr>
          <w:rFonts w:hint="eastAsia" w:ascii="宋体" w:hAnsi="宋体"/>
          <w:b/>
          <w:bCs/>
          <w:szCs w:val="21"/>
          <w:u w:val="single"/>
        </w:rPr>
        <w:t>残疾人福利性单位</w:t>
      </w:r>
      <w:r>
        <w:rPr>
          <w:rFonts w:ascii="宋体" w:hAnsi="宋体"/>
          <w:szCs w:val="21"/>
        </w:rPr>
        <w:t>；</w:t>
      </w:r>
    </w:p>
    <w:p>
      <w:pPr>
        <w:ind w:firstLine="420" w:firstLineChars="200"/>
        <w:rPr>
          <w:rFonts w:ascii="宋体" w:hAnsi="宋体"/>
          <w:szCs w:val="21"/>
        </w:rPr>
      </w:pPr>
      <w:r>
        <w:rPr>
          <w:rFonts w:ascii="宋体" w:hAnsi="宋体"/>
          <w:szCs w:val="21"/>
        </w:rPr>
        <w:t>2.</w:t>
      </w:r>
      <w:r>
        <w:rPr>
          <w:rFonts w:ascii="宋体" w:hAnsi="宋体"/>
          <w:b/>
          <w:bCs/>
          <w:szCs w:val="21"/>
          <w:u w:val="single"/>
        </w:rPr>
        <w:t xml:space="preserve"> （标的名称）</w:t>
      </w:r>
      <w:r>
        <w:rPr>
          <w:rFonts w:hint="eastAsia" w:ascii="宋体" w:hAnsi="宋体"/>
          <w:szCs w:val="21"/>
        </w:rPr>
        <w:t>，</w:t>
      </w:r>
      <w:r>
        <w:rPr>
          <w:rFonts w:ascii="宋体" w:hAnsi="宋体"/>
          <w:szCs w:val="21"/>
        </w:rPr>
        <w:t>制造商为</w:t>
      </w:r>
      <w:r>
        <w:rPr>
          <w:rFonts w:ascii="宋体" w:hAnsi="宋体"/>
          <w:b/>
          <w:bCs/>
          <w:szCs w:val="21"/>
          <w:u w:val="single"/>
        </w:rPr>
        <w:t>（</w:t>
      </w:r>
      <w:r>
        <w:rPr>
          <w:rFonts w:hint="eastAsia" w:ascii="宋体" w:hAnsi="宋体"/>
          <w:b/>
          <w:bCs/>
          <w:szCs w:val="21"/>
          <w:u w:val="single"/>
        </w:rPr>
        <w:t>单位</w:t>
      </w:r>
      <w:r>
        <w:rPr>
          <w:rFonts w:ascii="宋体" w:hAnsi="宋体"/>
          <w:b/>
          <w:bCs/>
          <w:szCs w:val="21"/>
          <w:u w:val="single"/>
        </w:rPr>
        <w:t>名称）</w:t>
      </w:r>
      <w:r>
        <w:rPr>
          <w:rFonts w:ascii="宋体" w:hAnsi="宋体"/>
          <w:szCs w:val="21"/>
        </w:rPr>
        <w:t>，属于</w:t>
      </w:r>
      <w:r>
        <w:rPr>
          <w:rFonts w:hint="eastAsia" w:ascii="宋体" w:hAnsi="宋体"/>
          <w:b/>
          <w:bCs/>
          <w:szCs w:val="21"/>
          <w:u w:val="single"/>
        </w:rPr>
        <w:t>残疾人福利性单位</w:t>
      </w:r>
      <w:r>
        <w:rPr>
          <w:rFonts w:hint="eastAsia" w:ascii="宋体" w:hAnsi="宋体"/>
          <w:szCs w:val="21"/>
        </w:rPr>
        <w:t>。</w:t>
      </w:r>
    </w:p>
    <w:p>
      <w:pPr>
        <w:ind w:firstLine="420" w:firstLineChars="200"/>
        <w:rPr>
          <w:rFonts w:ascii="宋体" w:hAnsi="宋体"/>
          <w:szCs w:val="21"/>
        </w:rPr>
      </w:pPr>
      <w:r>
        <w:rPr>
          <w:rFonts w:ascii="宋体" w:hAnsi="宋体"/>
          <w:szCs w:val="21"/>
        </w:rPr>
        <w:t xml:space="preserve">…… </w:t>
      </w:r>
    </w:p>
    <w:p>
      <w:pPr>
        <w:ind w:firstLine="420" w:firstLineChars="200"/>
        <w:rPr>
          <w:rFonts w:ascii="宋体" w:hAnsi="宋体"/>
          <w:szCs w:val="21"/>
        </w:rPr>
      </w:pPr>
      <w:bookmarkStart w:id="21" w:name="_Hlk73562331"/>
      <w:bookmarkStart w:id="22" w:name="_Hlk73562245"/>
      <w:r>
        <w:rPr>
          <w:rFonts w:hint="eastAsia"/>
        </w:rPr>
        <w:t>本</w:t>
      </w:r>
      <w:r>
        <w:t>投标人</w:t>
      </w:r>
      <w:r>
        <w:rPr>
          <w:rFonts w:hint="eastAsia"/>
        </w:rPr>
        <w:t>已</w:t>
      </w:r>
      <w:r>
        <w:t>知悉</w:t>
      </w:r>
      <w:r>
        <w:rPr>
          <w:rFonts w:hint="eastAsia"/>
        </w:rPr>
        <w:t>《财政部民政部中国残疾人联合会关于促进残疾人就业政府采购政策的通知》（财库〔2017〕141 号）</w:t>
      </w:r>
      <w:r>
        <w:t>的规定，承诺提供的声明函内容是真实的，如提供声明函内容不实，则依法追究相关法律责任</w:t>
      </w:r>
      <w:r>
        <w:rPr>
          <w:rFonts w:hint="eastAsia"/>
        </w:rPr>
        <w:t>。</w:t>
      </w:r>
      <w:bookmarkEnd w:id="21"/>
    </w:p>
    <w:bookmarkEnd w:id="22"/>
    <w:p>
      <w:pPr>
        <w:ind w:firstLine="420" w:firstLineChars="200"/>
        <w:rPr>
          <w:rFonts w:ascii="宋体" w:hAnsi="宋体"/>
          <w:szCs w:val="21"/>
        </w:rPr>
      </w:pPr>
    </w:p>
    <w:p>
      <w:pPr>
        <w:jc w:val="center"/>
        <w:rPr>
          <w:b/>
          <w:sz w:val="24"/>
        </w:rPr>
      </w:pPr>
      <w:r>
        <w:rPr>
          <w:rFonts w:hint="eastAsia"/>
          <w:b/>
          <w:sz w:val="24"/>
        </w:rPr>
        <w:t>3、监狱企业声明函【服务类，提供监狱企业货物的供应商如需享受优惠政策，还须另行提供省级以上监狱管理局、戒毒管理局（含新疆生产建设兵团）出具的监狱企业证明文件】</w:t>
      </w:r>
    </w:p>
    <w:p>
      <w:pPr>
        <w:ind w:firstLine="420" w:firstLineChars="200"/>
        <w:rPr>
          <w:rFonts w:ascii="宋体" w:hAnsi="宋体"/>
          <w:szCs w:val="21"/>
        </w:rPr>
      </w:pPr>
      <w:r>
        <w:rPr>
          <w:rFonts w:hint="eastAsia" w:ascii="宋体" w:hAnsi="宋体"/>
          <w:szCs w:val="21"/>
        </w:rPr>
        <w:t>本投标人郑重声明，根据《财政部司法部关于政府采购支持监狱企业发展有关问题的通知》（财库〔</w:t>
      </w:r>
      <w:r>
        <w:rPr>
          <w:rFonts w:ascii="宋体" w:hAnsi="宋体"/>
          <w:szCs w:val="21"/>
        </w:rPr>
        <w:t>2014</w:t>
      </w:r>
      <w:r>
        <w:rPr>
          <w:rFonts w:hint="eastAsia" w:ascii="宋体" w:hAnsi="宋体"/>
          <w:szCs w:val="21"/>
        </w:rPr>
        <w:t>〕</w:t>
      </w:r>
      <w:r>
        <w:rPr>
          <w:rFonts w:ascii="宋体" w:hAnsi="宋体"/>
          <w:szCs w:val="21"/>
        </w:rPr>
        <w:t>68</w:t>
      </w:r>
      <w:r>
        <w:rPr>
          <w:rFonts w:hint="eastAsia" w:ascii="宋体" w:hAnsi="宋体"/>
          <w:szCs w:val="21"/>
        </w:rPr>
        <w:t>号）的规定，本投标人</w:t>
      </w:r>
      <w:r>
        <w:rPr>
          <w:rFonts w:ascii="宋体" w:hAnsi="宋体" w:cs="Times New Roman"/>
          <w:szCs w:val="21"/>
        </w:rPr>
        <w:t>参加</w:t>
      </w:r>
      <w:r>
        <w:rPr>
          <w:rFonts w:ascii="宋体" w:hAnsi="宋体"/>
          <w:b/>
          <w:bCs/>
          <w:szCs w:val="21"/>
          <w:u w:val="single"/>
        </w:rPr>
        <w:t>（</w:t>
      </w:r>
      <w:r>
        <w:rPr>
          <w:rFonts w:hint="eastAsia" w:ascii="宋体" w:hAnsi="宋体"/>
          <w:b/>
          <w:bCs/>
          <w:szCs w:val="21"/>
          <w:u w:val="single"/>
        </w:rPr>
        <w:t>采购人</w:t>
      </w:r>
      <w:r>
        <w:rPr>
          <w:rFonts w:ascii="宋体" w:hAnsi="宋体"/>
          <w:b/>
          <w:bCs/>
          <w:szCs w:val="21"/>
          <w:u w:val="single"/>
        </w:rPr>
        <w:t>名称）</w:t>
      </w:r>
      <w:r>
        <w:rPr>
          <w:rFonts w:ascii="宋体" w:hAnsi="宋体"/>
          <w:szCs w:val="21"/>
        </w:rPr>
        <w:t>的</w:t>
      </w:r>
      <w:r>
        <w:rPr>
          <w:rFonts w:ascii="宋体" w:hAnsi="宋体"/>
          <w:b/>
          <w:bCs/>
          <w:szCs w:val="21"/>
          <w:u w:val="single"/>
        </w:rPr>
        <w:t>（项目名称）</w:t>
      </w:r>
      <w:r>
        <w:rPr>
          <w:rFonts w:ascii="宋体" w:hAnsi="宋体"/>
          <w:szCs w:val="21"/>
        </w:rPr>
        <w:t>采购活动，提供的</w:t>
      </w:r>
      <w:r>
        <w:rPr>
          <w:rFonts w:hint="eastAsia" w:ascii="宋体" w:hAnsi="宋体"/>
          <w:szCs w:val="21"/>
        </w:rPr>
        <w:t>服务</w:t>
      </w:r>
      <w:r>
        <w:rPr>
          <w:rFonts w:ascii="宋体" w:hAnsi="宋体"/>
          <w:szCs w:val="21"/>
        </w:rPr>
        <w:t>全部由符合政策要求的</w:t>
      </w:r>
      <w:r>
        <w:rPr>
          <w:rFonts w:hint="eastAsia" w:ascii="宋体" w:hAnsi="宋体"/>
          <w:szCs w:val="21"/>
        </w:rPr>
        <w:t>监狱企业</w:t>
      </w:r>
      <w:r>
        <w:rPr>
          <w:rFonts w:ascii="宋体" w:hAnsi="宋体"/>
          <w:szCs w:val="21"/>
        </w:rPr>
        <w:t>制造。相关</w:t>
      </w:r>
      <w:r>
        <w:rPr>
          <w:rFonts w:hint="eastAsia" w:ascii="宋体" w:hAnsi="宋体"/>
          <w:szCs w:val="21"/>
        </w:rPr>
        <w:t>监狱企业</w:t>
      </w:r>
      <w:r>
        <w:rPr>
          <w:rFonts w:ascii="宋体" w:hAnsi="宋体"/>
          <w:szCs w:val="21"/>
        </w:rPr>
        <w:t>的具体情况如下：</w:t>
      </w:r>
    </w:p>
    <w:p>
      <w:pPr>
        <w:ind w:firstLine="420" w:firstLineChars="200"/>
        <w:rPr>
          <w:rFonts w:ascii="宋体" w:hAnsi="宋体"/>
          <w:szCs w:val="21"/>
        </w:rPr>
      </w:pPr>
      <w:r>
        <w:rPr>
          <w:rFonts w:ascii="宋体" w:hAnsi="宋体"/>
          <w:szCs w:val="21"/>
        </w:rPr>
        <w:t>1.</w:t>
      </w:r>
      <w:r>
        <w:rPr>
          <w:rFonts w:ascii="宋体" w:hAnsi="宋体"/>
          <w:b/>
          <w:bCs/>
          <w:szCs w:val="21"/>
          <w:u w:val="single"/>
        </w:rPr>
        <w:t xml:space="preserve"> （标的名称）</w:t>
      </w:r>
      <w:r>
        <w:rPr>
          <w:rFonts w:hint="eastAsia" w:ascii="宋体" w:hAnsi="宋体"/>
          <w:szCs w:val="21"/>
        </w:rPr>
        <w:t>，</w:t>
      </w:r>
      <w:r>
        <w:rPr>
          <w:rFonts w:ascii="宋体" w:hAnsi="宋体"/>
          <w:szCs w:val="21"/>
        </w:rPr>
        <w:t>制造商为</w:t>
      </w:r>
      <w:r>
        <w:rPr>
          <w:rFonts w:ascii="宋体" w:hAnsi="宋体"/>
          <w:b/>
          <w:bCs/>
          <w:szCs w:val="21"/>
          <w:u w:val="single"/>
        </w:rPr>
        <w:t>（</w:t>
      </w:r>
      <w:r>
        <w:rPr>
          <w:rFonts w:hint="eastAsia" w:ascii="宋体" w:hAnsi="宋体"/>
          <w:b/>
          <w:bCs/>
          <w:szCs w:val="21"/>
          <w:u w:val="single"/>
        </w:rPr>
        <w:t>企业</w:t>
      </w:r>
      <w:r>
        <w:rPr>
          <w:rFonts w:ascii="宋体" w:hAnsi="宋体"/>
          <w:b/>
          <w:bCs/>
          <w:szCs w:val="21"/>
          <w:u w:val="single"/>
        </w:rPr>
        <w:t>名称）</w:t>
      </w:r>
      <w:r>
        <w:rPr>
          <w:rFonts w:ascii="宋体" w:hAnsi="宋体"/>
          <w:szCs w:val="21"/>
        </w:rPr>
        <w:t>，属于</w:t>
      </w:r>
      <w:r>
        <w:rPr>
          <w:rFonts w:hint="eastAsia" w:ascii="宋体" w:hAnsi="宋体"/>
          <w:b/>
          <w:bCs/>
          <w:szCs w:val="21"/>
          <w:u w:val="single"/>
        </w:rPr>
        <w:t>监狱企业</w:t>
      </w:r>
      <w:r>
        <w:rPr>
          <w:rFonts w:ascii="宋体" w:hAnsi="宋体"/>
          <w:szCs w:val="21"/>
        </w:rPr>
        <w:t>；</w:t>
      </w:r>
    </w:p>
    <w:p>
      <w:pPr>
        <w:ind w:firstLine="420" w:firstLineChars="200"/>
        <w:rPr>
          <w:rFonts w:ascii="宋体" w:hAnsi="宋体"/>
          <w:szCs w:val="21"/>
        </w:rPr>
      </w:pPr>
      <w:r>
        <w:rPr>
          <w:rFonts w:ascii="宋体" w:hAnsi="宋体"/>
          <w:szCs w:val="21"/>
        </w:rPr>
        <w:t>2.</w:t>
      </w:r>
      <w:r>
        <w:rPr>
          <w:rFonts w:ascii="宋体" w:hAnsi="宋体"/>
          <w:b/>
          <w:bCs/>
          <w:szCs w:val="21"/>
          <w:u w:val="single"/>
        </w:rPr>
        <w:t xml:space="preserve"> （标的名称）</w:t>
      </w:r>
      <w:r>
        <w:rPr>
          <w:rFonts w:hint="eastAsia" w:ascii="宋体" w:hAnsi="宋体"/>
          <w:szCs w:val="21"/>
        </w:rPr>
        <w:t>，</w:t>
      </w:r>
      <w:r>
        <w:rPr>
          <w:rFonts w:ascii="宋体" w:hAnsi="宋体"/>
          <w:szCs w:val="21"/>
        </w:rPr>
        <w:t>制造商为</w:t>
      </w:r>
      <w:r>
        <w:rPr>
          <w:rFonts w:ascii="宋体" w:hAnsi="宋体"/>
          <w:b/>
          <w:bCs/>
          <w:szCs w:val="21"/>
          <w:u w:val="single"/>
        </w:rPr>
        <w:t>（</w:t>
      </w:r>
      <w:r>
        <w:rPr>
          <w:rFonts w:hint="eastAsia" w:ascii="宋体" w:hAnsi="宋体"/>
          <w:b/>
          <w:bCs/>
          <w:szCs w:val="21"/>
          <w:u w:val="single"/>
        </w:rPr>
        <w:t>企业</w:t>
      </w:r>
      <w:r>
        <w:rPr>
          <w:rFonts w:ascii="宋体" w:hAnsi="宋体"/>
          <w:b/>
          <w:bCs/>
          <w:szCs w:val="21"/>
          <w:u w:val="single"/>
        </w:rPr>
        <w:t>名称）</w:t>
      </w:r>
      <w:r>
        <w:rPr>
          <w:rFonts w:ascii="宋体" w:hAnsi="宋体"/>
          <w:szCs w:val="21"/>
        </w:rPr>
        <w:t>，属于</w:t>
      </w:r>
      <w:r>
        <w:rPr>
          <w:rFonts w:hint="eastAsia" w:ascii="宋体" w:hAnsi="宋体"/>
          <w:b/>
          <w:bCs/>
          <w:szCs w:val="21"/>
          <w:u w:val="single"/>
        </w:rPr>
        <w:t>监狱企业</w:t>
      </w:r>
      <w:r>
        <w:rPr>
          <w:rFonts w:hint="eastAsia" w:ascii="宋体" w:hAnsi="宋体"/>
          <w:szCs w:val="21"/>
        </w:rPr>
        <w:t>。</w:t>
      </w:r>
    </w:p>
    <w:p>
      <w:pPr>
        <w:ind w:firstLine="420" w:firstLineChars="200"/>
        <w:rPr>
          <w:rFonts w:ascii="宋体" w:hAnsi="宋体"/>
          <w:szCs w:val="21"/>
        </w:rPr>
      </w:pPr>
      <w:r>
        <w:rPr>
          <w:rFonts w:ascii="宋体" w:hAnsi="宋体"/>
          <w:szCs w:val="21"/>
        </w:rPr>
        <w:t xml:space="preserve">…… </w:t>
      </w:r>
    </w:p>
    <w:p>
      <w:pPr>
        <w:ind w:firstLine="420" w:firstLineChars="200"/>
        <w:rPr>
          <w:rFonts w:ascii="宋体" w:hAnsi="宋体"/>
          <w:szCs w:val="21"/>
        </w:rPr>
      </w:pPr>
      <w:r>
        <w:rPr>
          <w:rFonts w:ascii="宋体" w:hAnsi="宋体" w:cs="Times New Roman"/>
          <w:szCs w:val="21"/>
        </w:rPr>
        <w:t>本</w:t>
      </w:r>
      <w:r>
        <w:rPr>
          <w:rFonts w:hint="eastAsia" w:ascii="宋体" w:hAnsi="宋体" w:cs="Times New Roman"/>
          <w:szCs w:val="21"/>
        </w:rPr>
        <w:t>投标人</w:t>
      </w:r>
      <w:r>
        <w:rPr>
          <w:rFonts w:ascii="宋体" w:hAnsi="宋体"/>
          <w:szCs w:val="21"/>
        </w:rPr>
        <w:t>对上述声明内容的真实性负责。如有虚假，将依法承担相应责任。</w:t>
      </w:r>
    </w:p>
    <w:p>
      <w:pPr>
        <w:ind w:firstLine="420" w:firstLineChars="200"/>
        <w:rPr>
          <w:rFonts w:ascii="宋体" w:hAnsi="宋体"/>
          <w:szCs w:val="21"/>
        </w:rPr>
      </w:pPr>
      <w:r>
        <w:rPr>
          <w:rFonts w:hint="eastAsia" w:ascii="宋体" w:hAnsi="宋体"/>
          <w:szCs w:val="21"/>
        </w:rPr>
        <w:t>附：省级以上监狱管理局、戒毒管理局（含新疆生产建设兵团）出具的监狱企业证明文件。</w:t>
      </w:r>
    </w:p>
    <w:p>
      <w:pPr>
        <w:rPr>
          <w:b/>
          <w:bCs/>
          <w:color w:val="FF0000"/>
          <w:sz w:val="24"/>
        </w:rPr>
      </w:pPr>
    </w:p>
    <w:p>
      <w:pPr>
        <w:rPr>
          <w:b/>
          <w:bCs/>
          <w:color w:val="FF0000"/>
          <w:sz w:val="24"/>
        </w:rPr>
      </w:pPr>
    </w:p>
    <w:p>
      <w:pPr>
        <w:rPr>
          <w:b/>
          <w:bCs/>
          <w:color w:val="FF0000"/>
          <w:sz w:val="24"/>
        </w:rPr>
      </w:pPr>
    </w:p>
    <w:p>
      <w:pPr>
        <w:rPr>
          <w:b/>
          <w:bCs/>
          <w:color w:val="FF0000"/>
          <w:sz w:val="24"/>
        </w:rPr>
      </w:pPr>
    </w:p>
    <w:p>
      <w:pPr>
        <w:rPr>
          <w:b/>
          <w:bCs/>
          <w:color w:val="FF0000"/>
          <w:sz w:val="24"/>
        </w:rPr>
      </w:pPr>
    </w:p>
    <w:p>
      <w:pPr>
        <w:jc w:val="center"/>
        <w:rPr>
          <w:rFonts w:ascii="黑体" w:hAnsi="等线" w:eastAsia="黑体"/>
          <w:bCs/>
          <w:sz w:val="32"/>
          <w:szCs w:val="32"/>
        </w:rPr>
      </w:pPr>
      <w:r>
        <w:rPr>
          <w:rFonts w:hint="eastAsia" w:ascii="黑体" w:hAnsi="等线" w:eastAsia="黑体" w:cs="Times New Roman"/>
          <w:bCs/>
          <w:sz w:val="32"/>
          <w:szCs w:val="32"/>
        </w:rPr>
        <w:t>四、投标人同类项目业绩情况</w:t>
      </w:r>
    </w:p>
    <w:p>
      <w:pPr>
        <w:rPr>
          <w:b/>
          <w:bCs/>
          <w:color w:val="FF0000"/>
          <w:sz w:val="24"/>
        </w:rPr>
      </w:pPr>
      <w:r>
        <w:rPr>
          <w:rFonts w:hint="eastAsia" w:ascii="Times New Roman" w:hAnsi="Times New Roman" w:eastAsia="宋体" w:cs="Times New Roman"/>
          <w:b/>
          <w:bCs/>
          <w:color w:val="FF0000"/>
          <w:sz w:val="24"/>
          <w:szCs w:val="24"/>
        </w:rPr>
        <w:t>（特别提示：投标人须按本招标文件“关键信息”的“</w:t>
      </w:r>
      <w:r>
        <w:rPr>
          <w:rFonts w:ascii="Times New Roman" w:hAnsi="Times New Roman" w:eastAsia="宋体" w:cs="Times New Roman"/>
          <w:b/>
          <w:bCs/>
          <w:color w:val="FF0000"/>
          <w:sz w:val="24"/>
          <w:szCs w:val="24"/>
        </w:rPr>
        <w:t>评标信息</w:t>
      </w:r>
      <w:r>
        <w:rPr>
          <w:rFonts w:hint="eastAsia" w:ascii="Times New Roman" w:hAnsi="Times New Roman" w:eastAsia="宋体" w:cs="Times New Roman"/>
          <w:b/>
          <w:bCs/>
          <w:color w:val="FF0000"/>
          <w:sz w:val="24"/>
          <w:szCs w:val="24"/>
        </w:rPr>
        <w:t>”</w:t>
      </w:r>
      <w:r>
        <w:rPr>
          <w:rFonts w:ascii="Times New Roman" w:hAnsi="Times New Roman" w:eastAsia="宋体" w:cs="Times New Roman"/>
          <w:b/>
          <w:bCs/>
          <w:color w:val="FF0000"/>
          <w:sz w:val="24"/>
          <w:szCs w:val="24"/>
        </w:rPr>
        <w:t>中</w:t>
      </w:r>
      <w:r>
        <w:rPr>
          <w:rFonts w:hint="eastAsia" w:ascii="Times New Roman" w:hAnsi="Times New Roman" w:eastAsia="宋体" w:cs="Times New Roman"/>
          <w:b/>
          <w:bCs/>
          <w:color w:val="FF0000"/>
          <w:sz w:val="24"/>
          <w:szCs w:val="24"/>
        </w:rPr>
        <w:t>关于“投标人同类项目业绩情况”</w:t>
      </w:r>
      <w:r>
        <w:rPr>
          <w:rFonts w:ascii="Times New Roman" w:hAnsi="Times New Roman" w:eastAsia="宋体" w:cs="Times New Roman"/>
          <w:b/>
          <w:bCs/>
          <w:color w:val="FF0000"/>
          <w:sz w:val="24"/>
          <w:szCs w:val="24"/>
        </w:rPr>
        <w:t>的要求</w:t>
      </w:r>
      <w:r>
        <w:rPr>
          <w:rFonts w:hint="eastAsia" w:ascii="Times New Roman" w:hAnsi="Times New Roman" w:eastAsia="宋体" w:cs="Times New Roman"/>
          <w:b/>
          <w:bCs/>
          <w:color w:val="FF0000"/>
          <w:sz w:val="24"/>
          <w:szCs w:val="24"/>
        </w:rPr>
        <w:t>提供相关的证明文件。）</w:t>
      </w:r>
    </w:p>
    <w:p>
      <w:pPr>
        <w:rPr>
          <w:b/>
          <w:bCs/>
          <w:color w:val="FF0000"/>
          <w:sz w:val="24"/>
        </w:rPr>
      </w:pPr>
    </w:p>
    <w:p>
      <w:pPr>
        <w:keepNext/>
        <w:keepLines/>
        <w:spacing w:before="260" w:after="260"/>
        <w:jc w:val="center"/>
        <w:outlineLvl w:val="2"/>
        <w:rPr>
          <w:rFonts w:ascii="黑体" w:hAnsi="黑体" w:eastAsia="黑体" w:cs="黑体"/>
          <w:sz w:val="32"/>
          <w:szCs w:val="32"/>
        </w:rPr>
      </w:pPr>
      <w:r>
        <w:rPr>
          <w:rFonts w:hint="eastAsia" w:ascii="黑体" w:hAnsi="黑体" w:eastAsia="黑体" w:cs="黑体"/>
          <w:sz w:val="32"/>
          <w:szCs w:val="32"/>
        </w:rPr>
        <w:t xml:space="preserve">五、拟安排的项目负责人情况（仅限一人）  </w:t>
      </w:r>
    </w:p>
    <w:p>
      <w:pPr>
        <w:rPr>
          <w:b/>
          <w:bCs/>
          <w:color w:val="FF0000"/>
          <w:sz w:val="24"/>
        </w:rPr>
      </w:pPr>
      <w:r>
        <w:rPr>
          <w:rFonts w:hint="eastAsia" w:ascii="Times New Roman" w:hAnsi="Times New Roman" w:eastAsia="宋体" w:cs="Times New Roman"/>
          <w:b/>
          <w:bCs/>
          <w:color w:val="FF0000"/>
          <w:sz w:val="24"/>
          <w:szCs w:val="24"/>
        </w:rPr>
        <w:t>（特别提示：投标人须按本招标文件“关键信息”的“</w:t>
      </w:r>
      <w:r>
        <w:rPr>
          <w:rFonts w:ascii="Times New Roman" w:hAnsi="Times New Roman" w:eastAsia="宋体" w:cs="Times New Roman"/>
          <w:b/>
          <w:bCs/>
          <w:color w:val="FF0000"/>
          <w:sz w:val="24"/>
          <w:szCs w:val="24"/>
        </w:rPr>
        <w:t>评标信息</w:t>
      </w:r>
      <w:r>
        <w:rPr>
          <w:rFonts w:hint="eastAsia" w:ascii="Times New Roman" w:hAnsi="Times New Roman" w:eastAsia="宋体" w:cs="Times New Roman"/>
          <w:b/>
          <w:bCs/>
          <w:color w:val="FF0000"/>
          <w:sz w:val="24"/>
          <w:szCs w:val="24"/>
        </w:rPr>
        <w:t>”</w:t>
      </w:r>
      <w:r>
        <w:rPr>
          <w:rFonts w:ascii="Times New Roman" w:hAnsi="Times New Roman" w:eastAsia="宋体" w:cs="Times New Roman"/>
          <w:b/>
          <w:bCs/>
          <w:color w:val="FF0000"/>
          <w:sz w:val="24"/>
          <w:szCs w:val="24"/>
        </w:rPr>
        <w:t>中</w:t>
      </w:r>
      <w:r>
        <w:rPr>
          <w:rFonts w:hint="eastAsia" w:ascii="Times New Roman" w:hAnsi="Times New Roman" w:eastAsia="宋体" w:cs="Times New Roman"/>
          <w:b/>
          <w:bCs/>
          <w:color w:val="FF0000"/>
          <w:sz w:val="24"/>
          <w:szCs w:val="24"/>
        </w:rPr>
        <w:t>关于“拟安排的项目负责人情况（仅限一人）  ”</w:t>
      </w:r>
      <w:r>
        <w:rPr>
          <w:rFonts w:ascii="Times New Roman" w:hAnsi="Times New Roman" w:eastAsia="宋体" w:cs="Times New Roman"/>
          <w:b/>
          <w:bCs/>
          <w:color w:val="FF0000"/>
          <w:sz w:val="24"/>
          <w:szCs w:val="24"/>
        </w:rPr>
        <w:t>的要求</w:t>
      </w:r>
      <w:r>
        <w:rPr>
          <w:rFonts w:hint="eastAsia" w:ascii="Times New Roman" w:hAnsi="Times New Roman" w:eastAsia="宋体" w:cs="Times New Roman"/>
          <w:b/>
          <w:bCs/>
          <w:color w:val="FF0000"/>
          <w:sz w:val="24"/>
          <w:szCs w:val="24"/>
        </w:rPr>
        <w:t>提供相关的证明文件。）</w:t>
      </w:r>
    </w:p>
    <w:p>
      <w:pPr>
        <w:keepNext/>
        <w:keepLines/>
        <w:spacing w:before="260" w:after="260"/>
        <w:jc w:val="center"/>
        <w:outlineLvl w:val="2"/>
        <w:rPr>
          <w:rFonts w:ascii="黑体" w:hAnsi="黑体" w:eastAsia="黑体" w:cs="黑体"/>
          <w:sz w:val="32"/>
          <w:szCs w:val="32"/>
        </w:rPr>
      </w:pPr>
      <w:r>
        <w:rPr>
          <w:rFonts w:hint="eastAsia" w:ascii="黑体" w:hAnsi="黑体" w:eastAsia="黑体" w:cs="黑体"/>
          <w:sz w:val="32"/>
          <w:szCs w:val="32"/>
        </w:rPr>
        <w:t>六、拟安排的项目主要团队成员（主要技术人员）情况（项目负责人除外）</w:t>
      </w:r>
    </w:p>
    <w:p>
      <w:pPr>
        <w:rPr>
          <w:b/>
          <w:bCs/>
          <w:color w:val="FF0000"/>
          <w:sz w:val="24"/>
        </w:rPr>
      </w:pPr>
      <w:r>
        <w:rPr>
          <w:rFonts w:hint="eastAsia" w:ascii="Times New Roman" w:hAnsi="Times New Roman" w:eastAsia="宋体" w:cs="Times New Roman"/>
          <w:b/>
          <w:bCs/>
          <w:color w:val="FF0000"/>
          <w:sz w:val="24"/>
          <w:szCs w:val="24"/>
        </w:rPr>
        <w:t>（特别提示：投标人须按本招标文件“关键信息”的“</w:t>
      </w:r>
      <w:r>
        <w:rPr>
          <w:rFonts w:ascii="Times New Roman" w:hAnsi="Times New Roman" w:eastAsia="宋体" w:cs="Times New Roman"/>
          <w:b/>
          <w:bCs/>
          <w:color w:val="FF0000"/>
          <w:sz w:val="24"/>
          <w:szCs w:val="24"/>
        </w:rPr>
        <w:t>评标信息</w:t>
      </w:r>
      <w:r>
        <w:rPr>
          <w:rFonts w:hint="eastAsia" w:ascii="Times New Roman" w:hAnsi="Times New Roman" w:eastAsia="宋体" w:cs="Times New Roman"/>
          <w:b/>
          <w:bCs/>
          <w:color w:val="FF0000"/>
          <w:sz w:val="24"/>
          <w:szCs w:val="24"/>
        </w:rPr>
        <w:t>”</w:t>
      </w:r>
      <w:r>
        <w:rPr>
          <w:rFonts w:ascii="Times New Roman" w:hAnsi="Times New Roman" w:eastAsia="宋体" w:cs="Times New Roman"/>
          <w:b/>
          <w:bCs/>
          <w:color w:val="FF0000"/>
          <w:sz w:val="24"/>
          <w:szCs w:val="24"/>
        </w:rPr>
        <w:t>中</w:t>
      </w:r>
      <w:r>
        <w:rPr>
          <w:rFonts w:hint="eastAsia" w:ascii="Times New Roman" w:hAnsi="Times New Roman" w:eastAsia="宋体" w:cs="Times New Roman"/>
          <w:b/>
          <w:bCs/>
          <w:color w:val="FF0000"/>
          <w:sz w:val="24"/>
          <w:szCs w:val="24"/>
        </w:rPr>
        <w:t>关于“拟安排的项目主要团队成员（主要技术人员）情况（项目负责人除外）  ”</w:t>
      </w:r>
      <w:r>
        <w:rPr>
          <w:rFonts w:ascii="Times New Roman" w:hAnsi="Times New Roman" w:eastAsia="宋体" w:cs="Times New Roman"/>
          <w:b/>
          <w:bCs/>
          <w:color w:val="FF0000"/>
          <w:sz w:val="24"/>
          <w:szCs w:val="24"/>
        </w:rPr>
        <w:t>的要求</w:t>
      </w:r>
      <w:r>
        <w:rPr>
          <w:rFonts w:hint="eastAsia" w:ascii="Times New Roman" w:hAnsi="Times New Roman" w:eastAsia="宋体" w:cs="Times New Roman"/>
          <w:b/>
          <w:bCs/>
          <w:color w:val="FF0000"/>
          <w:sz w:val="24"/>
          <w:szCs w:val="24"/>
        </w:rPr>
        <w:t>提供相关的证明文件。）</w:t>
      </w:r>
    </w:p>
    <w:p>
      <w:pPr>
        <w:pStyle w:val="2"/>
      </w:pPr>
    </w:p>
    <w:p>
      <w:pPr>
        <w:keepNext/>
        <w:keepLines/>
        <w:spacing w:before="260" w:after="260"/>
        <w:jc w:val="center"/>
        <w:outlineLvl w:val="2"/>
        <w:rPr>
          <w:rFonts w:ascii="黑体" w:hAnsi="黑体" w:eastAsia="黑体" w:cs="黑体"/>
          <w:sz w:val="32"/>
          <w:szCs w:val="32"/>
        </w:rPr>
      </w:pPr>
      <w:r>
        <w:rPr>
          <w:rFonts w:hint="eastAsia" w:ascii="黑体" w:hAnsi="黑体" w:eastAsia="黑体" w:cs="黑体"/>
          <w:sz w:val="32"/>
          <w:szCs w:val="32"/>
        </w:rPr>
        <w:t>七、政府采购违法行为风险知悉确认书</w:t>
      </w:r>
    </w:p>
    <w:p>
      <w:pPr>
        <w:pStyle w:val="48"/>
        <w:autoSpaceDE w:val="0"/>
        <w:autoSpaceDN w:val="0"/>
        <w:spacing w:line="400" w:lineRule="exact"/>
        <w:ind w:firstLine="404" w:firstLineChars="200"/>
        <w:rPr>
          <w:rFonts w:ascii="宋体" w:hAnsi="宋体"/>
          <w:spacing w:val="-4"/>
          <w:sz w:val="21"/>
          <w:szCs w:val="21"/>
        </w:rPr>
      </w:pPr>
      <w:r>
        <w:rPr>
          <w:rFonts w:hint="eastAsia" w:ascii="宋体" w:hAnsi="宋体"/>
          <w:spacing w:val="-4"/>
          <w:kern w:val="0"/>
          <w:sz w:val="21"/>
          <w:szCs w:val="21"/>
        </w:rPr>
        <w:t>本公司在投标前已充分知悉以下情形为参与政府采购活动时的重大风险事项，并承诺已对下述风险提示事项重点排查，做到严谨、诚信、依法依规参与政府采购活动。</w:t>
      </w:r>
    </w:p>
    <w:p>
      <w:pPr>
        <w:ind w:firstLine="420" w:firstLineChars="200"/>
        <w:rPr>
          <w:b/>
          <w:bCs/>
          <w:szCs w:val="21"/>
        </w:rPr>
      </w:pPr>
      <w:r>
        <w:rPr>
          <w:rFonts w:hint="eastAsia" w:ascii="宋体" w:hAnsi="宋体"/>
          <w:b/>
          <w:bCs/>
          <w:szCs w:val="21"/>
        </w:rPr>
        <w:t>一、本公司已充分知悉</w:t>
      </w:r>
      <w:r>
        <w:rPr>
          <w:rFonts w:hint="eastAsia"/>
          <w:b/>
          <w:bCs/>
          <w:szCs w:val="21"/>
        </w:rPr>
        <w:t>“</w:t>
      </w:r>
      <w:r>
        <w:rPr>
          <w:rFonts w:hint="eastAsia" w:ascii="宋体" w:hAnsi="宋体"/>
          <w:b/>
          <w:bCs/>
          <w:szCs w:val="21"/>
        </w:rPr>
        <w:t>隐瞒真实情况，提供虚假资料</w:t>
      </w:r>
      <w:r>
        <w:rPr>
          <w:rFonts w:hint="eastAsia"/>
          <w:b/>
          <w:bCs/>
          <w:szCs w:val="21"/>
        </w:rPr>
        <w:t>”</w:t>
      </w:r>
      <w:r>
        <w:rPr>
          <w:rFonts w:hint="eastAsia" w:ascii="宋体" w:hAnsi="宋体"/>
          <w:b/>
          <w:bCs/>
          <w:szCs w:val="21"/>
        </w:rPr>
        <w:t>的法定情形，相关情形包括但不限于：</w:t>
      </w:r>
    </w:p>
    <w:p>
      <w:pPr>
        <w:pStyle w:val="48"/>
        <w:autoSpaceDE w:val="0"/>
        <w:autoSpaceDN w:val="0"/>
        <w:spacing w:line="400" w:lineRule="exact"/>
        <w:ind w:firstLine="404" w:firstLineChars="200"/>
        <w:rPr>
          <w:rFonts w:ascii="宋体" w:hAnsi="宋体"/>
          <w:spacing w:val="-4"/>
          <w:sz w:val="21"/>
          <w:szCs w:val="21"/>
        </w:rPr>
      </w:pPr>
      <w:r>
        <w:rPr>
          <w:rFonts w:hint="eastAsia" w:ascii="宋体" w:hAnsi="宋体"/>
          <w:spacing w:val="-4"/>
          <w:kern w:val="0"/>
          <w:sz w:val="21"/>
          <w:szCs w:val="21"/>
        </w:rPr>
        <w:t>（一）通过转让或者租借等方式从其他单位获取资格或者资质证书投标的。</w:t>
      </w:r>
    </w:p>
    <w:p>
      <w:pPr>
        <w:pStyle w:val="48"/>
        <w:autoSpaceDE w:val="0"/>
        <w:autoSpaceDN w:val="0"/>
        <w:spacing w:line="400" w:lineRule="exact"/>
        <w:ind w:firstLine="404" w:firstLineChars="200"/>
        <w:rPr>
          <w:rFonts w:ascii="宋体" w:hAnsi="宋体"/>
          <w:spacing w:val="-4"/>
          <w:sz w:val="21"/>
          <w:szCs w:val="21"/>
        </w:rPr>
      </w:pPr>
      <w:r>
        <w:rPr>
          <w:rFonts w:hint="eastAsia" w:ascii="宋体" w:hAnsi="宋体"/>
          <w:spacing w:val="-4"/>
          <w:kern w:val="0"/>
          <w:sz w:val="21"/>
          <w:szCs w:val="21"/>
        </w:rPr>
        <w:t>（二）由其他单位或者其他单位负责人在投标供应商编制的投标文件上加盖印章或者签字的。</w:t>
      </w:r>
    </w:p>
    <w:p>
      <w:pPr>
        <w:pStyle w:val="48"/>
        <w:autoSpaceDE w:val="0"/>
        <w:autoSpaceDN w:val="0"/>
        <w:spacing w:line="400" w:lineRule="exact"/>
        <w:ind w:firstLine="404" w:firstLineChars="200"/>
        <w:rPr>
          <w:rFonts w:ascii="宋体" w:hAnsi="宋体"/>
          <w:spacing w:val="-4"/>
          <w:sz w:val="21"/>
          <w:szCs w:val="21"/>
        </w:rPr>
      </w:pPr>
      <w:r>
        <w:rPr>
          <w:rFonts w:hint="eastAsia" w:ascii="宋体" w:hAnsi="宋体"/>
          <w:spacing w:val="-4"/>
          <w:kern w:val="0"/>
          <w:sz w:val="21"/>
          <w:szCs w:val="21"/>
        </w:rPr>
        <w:t>（三）项目负责人或者主要技术人员不是本单位人员的。</w:t>
      </w:r>
    </w:p>
    <w:p>
      <w:pPr>
        <w:pStyle w:val="48"/>
        <w:autoSpaceDE w:val="0"/>
        <w:autoSpaceDN w:val="0"/>
        <w:spacing w:line="400" w:lineRule="exact"/>
        <w:ind w:firstLine="404" w:firstLineChars="200"/>
        <w:rPr>
          <w:rFonts w:ascii="宋体" w:hAnsi="宋体"/>
          <w:spacing w:val="-4"/>
          <w:sz w:val="21"/>
          <w:szCs w:val="21"/>
        </w:rPr>
      </w:pPr>
      <w:r>
        <w:rPr>
          <w:rFonts w:hint="eastAsia" w:ascii="宋体" w:hAnsi="宋体"/>
          <w:spacing w:val="-4"/>
          <w:kern w:val="0"/>
          <w:sz w:val="21"/>
          <w:szCs w:val="21"/>
        </w:rPr>
        <w:t>（四）投标保证金不是从投标供应商基本账户转出的。</w:t>
      </w:r>
    </w:p>
    <w:p>
      <w:pPr>
        <w:pStyle w:val="48"/>
        <w:autoSpaceDE w:val="0"/>
        <w:autoSpaceDN w:val="0"/>
        <w:spacing w:line="400" w:lineRule="exact"/>
        <w:ind w:firstLine="404" w:firstLineChars="200"/>
        <w:rPr>
          <w:rFonts w:ascii="宋体" w:hAnsi="宋体"/>
          <w:spacing w:val="-4"/>
          <w:sz w:val="21"/>
          <w:szCs w:val="21"/>
        </w:rPr>
      </w:pPr>
      <w:r>
        <w:rPr>
          <w:rFonts w:hint="eastAsia" w:ascii="宋体" w:hAnsi="宋体"/>
          <w:spacing w:val="-4"/>
          <w:kern w:val="0"/>
          <w:sz w:val="21"/>
          <w:szCs w:val="21"/>
        </w:rPr>
        <w:t>（五）其他隐瞒真实情况、提供虚假资料的行为。</w:t>
      </w:r>
    </w:p>
    <w:p>
      <w:pPr>
        <w:ind w:firstLine="420" w:firstLineChars="200"/>
        <w:rPr>
          <w:b/>
          <w:bCs/>
          <w:szCs w:val="21"/>
        </w:rPr>
      </w:pPr>
      <w:r>
        <w:rPr>
          <w:rFonts w:hint="eastAsia" w:ascii="宋体" w:hAnsi="宋体"/>
          <w:b/>
          <w:bCs/>
          <w:szCs w:val="21"/>
        </w:rPr>
        <w:t>二、本公司已充分知悉</w:t>
      </w:r>
      <w:r>
        <w:rPr>
          <w:rFonts w:hint="eastAsia"/>
          <w:b/>
          <w:bCs/>
          <w:szCs w:val="21"/>
        </w:rPr>
        <w:t>“</w:t>
      </w:r>
      <w:r>
        <w:rPr>
          <w:rFonts w:hint="eastAsia" w:ascii="宋体" w:hAnsi="宋体"/>
          <w:b/>
          <w:bCs/>
          <w:szCs w:val="21"/>
        </w:rPr>
        <w:t>与其他采购参加人串通投标</w:t>
      </w:r>
      <w:r>
        <w:rPr>
          <w:rFonts w:hint="eastAsia"/>
          <w:b/>
          <w:bCs/>
          <w:szCs w:val="21"/>
        </w:rPr>
        <w:t>”</w:t>
      </w:r>
      <w:r>
        <w:rPr>
          <w:rFonts w:hint="eastAsia" w:ascii="宋体" w:hAnsi="宋体"/>
          <w:b/>
          <w:bCs/>
          <w:szCs w:val="21"/>
        </w:rPr>
        <w:t>的法定情形，相关情形包括但不限于：</w:t>
      </w:r>
    </w:p>
    <w:p>
      <w:pPr>
        <w:pStyle w:val="48"/>
        <w:autoSpaceDE w:val="0"/>
        <w:autoSpaceDN w:val="0"/>
        <w:spacing w:line="400" w:lineRule="exact"/>
        <w:ind w:firstLine="404" w:firstLineChars="200"/>
        <w:rPr>
          <w:rFonts w:ascii="宋体" w:hAnsi="宋体"/>
          <w:spacing w:val="-4"/>
          <w:sz w:val="21"/>
          <w:szCs w:val="21"/>
        </w:rPr>
      </w:pPr>
      <w:r>
        <w:rPr>
          <w:rFonts w:hint="eastAsia" w:ascii="宋体" w:hAnsi="宋体"/>
          <w:spacing w:val="-4"/>
          <w:kern w:val="0"/>
          <w:sz w:val="21"/>
          <w:szCs w:val="21"/>
        </w:rPr>
        <w:t>（一）投标供应商之间相互约定给予未中标的供应商利益补偿。</w:t>
      </w:r>
    </w:p>
    <w:p>
      <w:pPr>
        <w:pStyle w:val="48"/>
        <w:autoSpaceDE w:val="0"/>
        <w:autoSpaceDN w:val="0"/>
        <w:spacing w:line="400" w:lineRule="exact"/>
        <w:ind w:firstLine="404" w:firstLineChars="200"/>
        <w:rPr>
          <w:rFonts w:ascii="宋体" w:hAnsi="宋体"/>
          <w:spacing w:val="-4"/>
          <w:sz w:val="21"/>
          <w:szCs w:val="21"/>
        </w:rPr>
      </w:pPr>
      <w:r>
        <w:rPr>
          <w:rFonts w:hint="eastAsia" w:ascii="宋体" w:hAnsi="宋体"/>
          <w:spacing w:val="-4"/>
          <w:kern w:val="0"/>
          <w:sz w:val="21"/>
          <w:szCs w:val="21"/>
        </w:rPr>
        <w:t>（二）不同投标供应商的法定代表人、主要经营负责人、项目投标授权代表人、项目负责人、主要技术人员为同一人、属同一单位或者在同一单位缴纳社会保险。</w:t>
      </w:r>
    </w:p>
    <w:p>
      <w:pPr>
        <w:pStyle w:val="48"/>
        <w:autoSpaceDE w:val="0"/>
        <w:autoSpaceDN w:val="0"/>
        <w:spacing w:line="400" w:lineRule="exact"/>
        <w:ind w:firstLine="404" w:firstLineChars="200"/>
        <w:rPr>
          <w:rFonts w:ascii="宋体" w:hAnsi="宋体"/>
          <w:spacing w:val="-4"/>
          <w:sz w:val="21"/>
          <w:szCs w:val="21"/>
        </w:rPr>
      </w:pPr>
      <w:r>
        <w:rPr>
          <w:rFonts w:hint="eastAsia" w:ascii="宋体" w:hAnsi="宋体"/>
          <w:spacing w:val="-4"/>
          <w:kern w:val="0"/>
          <w:sz w:val="21"/>
          <w:szCs w:val="21"/>
        </w:rPr>
        <w:t>（三）不同投标供应商的投标文件由同一单位或者同一人编制，或者由同一人分阶段参与编制的。</w:t>
      </w:r>
    </w:p>
    <w:p>
      <w:pPr>
        <w:pStyle w:val="48"/>
        <w:autoSpaceDE w:val="0"/>
        <w:autoSpaceDN w:val="0"/>
        <w:spacing w:line="400" w:lineRule="exact"/>
        <w:ind w:firstLine="404" w:firstLineChars="200"/>
        <w:rPr>
          <w:rFonts w:ascii="宋体" w:hAnsi="宋体"/>
          <w:spacing w:val="-4"/>
          <w:sz w:val="21"/>
          <w:szCs w:val="21"/>
        </w:rPr>
      </w:pPr>
      <w:r>
        <w:rPr>
          <w:rFonts w:hint="eastAsia" w:ascii="宋体" w:hAnsi="宋体"/>
          <w:spacing w:val="-4"/>
          <w:kern w:val="0"/>
          <w:sz w:val="21"/>
          <w:szCs w:val="21"/>
        </w:rPr>
        <w:t>（四）不同投标供应商的投标文件或部分投标文件相互混装。</w:t>
      </w:r>
    </w:p>
    <w:p>
      <w:pPr>
        <w:pStyle w:val="48"/>
        <w:autoSpaceDE w:val="0"/>
        <w:autoSpaceDN w:val="0"/>
        <w:spacing w:line="400" w:lineRule="exact"/>
        <w:ind w:firstLine="404" w:firstLineChars="200"/>
        <w:rPr>
          <w:rFonts w:ascii="宋体" w:hAnsi="宋体"/>
          <w:spacing w:val="-4"/>
          <w:sz w:val="21"/>
          <w:szCs w:val="21"/>
        </w:rPr>
      </w:pPr>
      <w:r>
        <w:rPr>
          <w:rFonts w:hint="eastAsia" w:ascii="宋体" w:hAnsi="宋体"/>
          <w:spacing w:val="-4"/>
          <w:kern w:val="0"/>
          <w:sz w:val="21"/>
          <w:szCs w:val="21"/>
        </w:rPr>
        <w:t>（五）不同投标供应商的投标文件内容存在非正常一致。</w:t>
      </w:r>
    </w:p>
    <w:p>
      <w:pPr>
        <w:pStyle w:val="48"/>
        <w:autoSpaceDE w:val="0"/>
        <w:autoSpaceDN w:val="0"/>
        <w:spacing w:line="400" w:lineRule="exact"/>
        <w:ind w:firstLine="404" w:firstLineChars="200"/>
        <w:rPr>
          <w:rFonts w:ascii="宋体" w:hAnsi="宋体"/>
          <w:spacing w:val="-4"/>
          <w:sz w:val="21"/>
          <w:szCs w:val="21"/>
        </w:rPr>
      </w:pPr>
      <w:r>
        <w:rPr>
          <w:rFonts w:hint="eastAsia" w:ascii="宋体" w:hAnsi="宋体"/>
          <w:spacing w:val="-4"/>
          <w:kern w:val="0"/>
          <w:sz w:val="21"/>
          <w:szCs w:val="21"/>
        </w:rPr>
        <w:t>（六）由同一单位工作人员为两家以上（含两家）供应商进行同一项投标活动的。</w:t>
      </w:r>
    </w:p>
    <w:p>
      <w:pPr>
        <w:pStyle w:val="48"/>
        <w:autoSpaceDE w:val="0"/>
        <w:autoSpaceDN w:val="0"/>
        <w:spacing w:line="400" w:lineRule="exact"/>
        <w:ind w:firstLine="404" w:firstLineChars="200"/>
        <w:rPr>
          <w:rFonts w:ascii="宋体" w:hAnsi="宋体"/>
          <w:spacing w:val="-4"/>
          <w:sz w:val="21"/>
          <w:szCs w:val="21"/>
        </w:rPr>
      </w:pPr>
      <w:r>
        <w:rPr>
          <w:rFonts w:hint="eastAsia" w:ascii="宋体" w:hAnsi="宋体"/>
          <w:spacing w:val="-4"/>
          <w:kern w:val="0"/>
          <w:sz w:val="21"/>
          <w:szCs w:val="21"/>
        </w:rPr>
        <w:t>（七）不同投标人的投标报价呈规律性差异。</w:t>
      </w:r>
    </w:p>
    <w:p>
      <w:pPr>
        <w:pStyle w:val="48"/>
        <w:autoSpaceDE w:val="0"/>
        <w:autoSpaceDN w:val="0"/>
        <w:spacing w:line="400" w:lineRule="exact"/>
        <w:ind w:firstLine="404" w:firstLineChars="200"/>
        <w:rPr>
          <w:rFonts w:ascii="宋体" w:hAnsi="宋体"/>
          <w:spacing w:val="-4"/>
          <w:sz w:val="21"/>
          <w:szCs w:val="21"/>
        </w:rPr>
      </w:pPr>
      <w:r>
        <w:rPr>
          <w:rFonts w:hint="eastAsia" w:ascii="宋体" w:hAnsi="宋体"/>
          <w:spacing w:val="-4"/>
          <w:kern w:val="0"/>
          <w:sz w:val="21"/>
          <w:szCs w:val="21"/>
        </w:rPr>
        <w:t>（八）不同投标人的投标保证金从同一单位或者个人的账户转出。</w:t>
      </w:r>
    </w:p>
    <w:p>
      <w:pPr>
        <w:pStyle w:val="48"/>
        <w:autoSpaceDE w:val="0"/>
        <w:autoSpaceDN w:val="0"/>
        <w:spacing w:line="400" w:lineRule="exact"/>
        <w:ind w:firstLine="404" w:firstLineChars="200"/>
        <w:rPr>
          <w:rFonts w:ascii="宋体" w:hAnsi="宋体"/>
          <w:spacing w:val="-4"/>
          <w:sz w:val="21"/>
          <w:szCs w:val="21"/>
        </w:rPr>
      </w:pPr>
      <w:r>
        <w:rPr>
          <w:rFonts w:hint="eastAsia" w:ascii="宋体" w:hAnsi="宋体"/>
          <w:spacing w:val="-4"/>
          <w:kern w:val="0"/>
          <w:sz w:val="21"/>
          <w:szCs w:val="21"/>
        </w:rPr>
        <w:t>（九）主管部门依照法律、法规认定的其他情形。</w:t>
      </w:r>
    </w:p>
    <w:p>
      <w:pPr>
        <w:ind w:firstLine="420" w:firstLineChars="200"/>
        <w:rPr>
          <w:b/>
          <w:bCs/>
          <w:szCs w:val="21"/>
        </w:rPr>
      </w:pPr>
      <w:r>
        <w:rPr>
          <w:rFonts w:hint="eastAsia" w:ascii="宋体" w:hAnsi="宋体"/>
          <w:b/>
          <w:bCs/>
          <w:szCs w:val="21"/>
        </w:rPr>
        <w:t>三、本公司已充分知悉下列情形所对应的法律风险，并在投标前已对相关风险事项进行排查。</w:t>
      </w:r>
    </w:p>
    <w:p>
      <w:pPr>
        <w:autoSpaceDE w:val="0"/>
        <w:autoSpaceDN w:val="0"/>
        <w:spacing w:line="400" w:lineRule="exact"/>
        <w:ind w:firstLine="404" w:firstLineChars="200"/>
        <w:rPr>
          <w:rFonts w:ascii="宋体" w:hAnsi="宋体"/>
          <w:b/>
          <w:bCs/>
          <w:spacing w:val="-4"/>
          <w:kern w:val="0"/>
          <w:szCs w:val="21"/>
        </w:rPr>
      </w:pPr>
      <w:r>
        <w:rPr>
          <w:rFonts w:hint="eastAsia" w:ascii="宋体" w:hAnsi="宋体"/>
          <w:spacing w:val="-4"/>
          <w:kern w:val="0"/>
          <w:szCs w:val="21"/>
        </w:rPr>
        <w:t>（一）对于从其他主体获取的投标资料，供应商应审慎核查，确保投标资料的真实性。</w:t>
      </w:r>
      <w:r>
        <w:rPr>
          <w:rFonts w:hint="eastAsia" w:ascii="宋体" w:hAnsi="宋体"/>
          <w:b/>
          <w:bCs/>
          <w:spacing w:val="-4"/>
          <w:kern w:val="0"/>
          <w:szCs w:val="21"/>
        </w:rPr>
        <w:t>如主管部门查实投标文件中存在虚假资料的，无论相关资料是否由第三方或本公司员工提供，均不影响主管部门对供应商存在“隐瞒真实情况，提供虚假资料”违法行为的认定。</w:t>
      </w:r>
    </w:p>
    <w:p>
      <w:pPr>
        <w:pStyle w:val="48"/>
        <w:autoSpaceDE w:val="0"/>
        <w:autoSpaceDN w:val="0"/>
        <w:spacing w:line="400" w:lineRule="exact"/>
        <w:ind w:firstLine="404" w:firstLineChars="200"/>
        <w:rPr>
          <w:rFonts w:ascii="宋体" w:hAnsi="宋体"/>
          <w:spacing w:val="-4"/>
          <w:sz w:val="21"/>
          <w:szCs w:val="21"/>
        </w:rPr>
      </w:pPr>
      <w:r>
        <w:rPr>
          <w:rFonts w:hint="eastAsia" w:ascii="宋体" w:hAnsi="宋体"/>
          <w:spacing w:val="-4"/>
          <w:kern w:val="0"/>
          <w:sz w:val="21"/>
          <w:szCs w:val="21"/>
        </w:rPr>
        <w:t>（二）对于涉及国家机关出具的公文、证件、证明材料等文件，一旦涉嫌虚假，经查实，主管部门将依法从严处理，并移送有关部门追究法律责任；涉嫌犯罪的，主管部门将一并移送司法机关追究法律责任。</w:t>
      </w:r>
    </w:p>
    <w:p>
      <w:pPr>
        <w:pStyle w:val="48"/>
        <w:autoSpaceDE w:val="0"/>
        <w:autoSpaceDN w:val="0"/>
        <w:spacing w:line="400" w:lineRule="exact"/>
        <w:ind w:firstLine="404" w:firstLineChars="200"/>
        <w:rPr>
          <w:rFonts w:ascii="宋体" w:hAnsi="宋体"/>
          <w:spacing w:val="-4"/>
          <w:sz w:val="21"/>
          <w:szCs w:val="21"/>
        </w:rPr>
      </w:pPr>
      <w:r>
        <w:rPr>
          <w:rFonts w:hint="eastAsia" w:ascii="宋体" w:hAnsi="宋体"/>
          <w:spacing w:val="-4"/>
          <w:kern w:val="0"/>
          <w:sz w:val="21"/>
          <w:szCs w:val="21"/>
        </w:rPr>
        <w:t>（三）对于涉及安全生产、特种作业、抢险救灾、防疫等政府采购项目，供应商实施提供虚假资料、串通投标等违法行为的，主管部门将依法从严处理。</w:t>
      </w:r>
    </w:p>
    <w:p>
      <w:pPr>
        <w:pStyle w:val="48"/>
        <w:autoSpaceDE w:val="0"/>
        <w:autoSpaceDN w:val="0"/>
        <w:spacing w:line="400" w:lineRule="exact"/>
        <w:ind w:firstLine="404" w:firstLineChars="200"/>
        <w:rPr>
          <w:rFonts w:ascii="宋体" w:hAnsi="宋体"/>
          <w:spacing w:val="-4"/>
          <w:sz w:val="21"/>
          <w:szCs w:val="21"/>
        </w:rPr>
      </w:pPr>
      <w:r>
        <w:rPr>
          <w:rFonts w:hint="eastAsia" w:ascii="宋体" w:hAnsi="宋体"/>
          <w:spacing w:val="-4"/>
          <w:kern w:val="0"/>
          <w:sz w:val="21"/>
          <w:szCs w:val="21"/>
        </w:rPr>
        <w:t>（四）供应商应严格规范项目授权代表、员工参与招标投标的行为，加强对投标文件的审核。项目授权代表、员工编制、上传投标文件等行为违反政府采购法律法规或招标文件要求的，投标供应商应当依法承担相应法律责任。</w:t>
      </w:r>
    </w:p>
    <w:p>
      <w:pPr>
        <w:pStyle w:val="48"/>
        <w:autoSpaceDE w:val="0"/>
        <w:autoSpaceDN w:val="0"/>
        <w:spacing w:line="400" w:lineRule="exact"/>
        <w:ind w:firstLine="404" w:firstLineChars="200"/>
        <w:rPr>
          <w:rFonts w:ascii="宋体" w:hAnsi="宋体"/>
          <w:spacing w:val="-4"/>
          <w:sz w:val="21"/>
          <w:szCs w:val="21"/>
        </w:rPr>
      </w:pPr>
      <w:r>
        <w:rPr>
          <w:rFonts w:hint="eastAsia" w:ascii="宋体" w:hAnsi="宋体"/>
          <w:spacing w:val="-4"/>
          <w:kern w:val="0"/>
          <w:sz w:val="21"/>
          <w:szCs w:val="21"/>
        </w:rPr>
        <w:t>（五）供应商对投标电子密钥负有妥善保管、及时变更和续期等主体责任。供应商使用电子密钥在深圳政府采购网站进行的活动，均具有法律效力，须承担相应的法律后果。供应商擅自将投标密钥出借他人使用所造成的法律后果，由供应商自行承担。</w:t>
      </w:r>
    </w:p>
    <w:p>
      <w:pPr>
        <w:pStyle w:val="48"/>
        <w:autoSpaceDE w:val="0"/>
        <w:autoSpaceDN w:val="0"/>
        <w:spacing w:line="400" w:lineRule="exact"/>
        <w:ind w:firstLine="404" w:firstLineChars="200"/>
        <w:rPr>
          <w:rFonts w:ascii="宋体" w:hAnsi="宋体"/>
          <w:spacing w:val="-4"/>
          <w:sz w:val="21"/>
          <w:szCs w:val="21"/>
        </w:rPr>
      </w:pPr>
      <w:r>
        <w:rPr>
          <w:rFonts w:hint="eastAsia" w:ascii="宋体" w:hAnsi="宋体"/>
          <w:spacing w:val="-4"/>
          <w:kern w:val="0"/>
          <w:sz w:val="21"/>
          <w:szCs w:val="21"/>
        </w:rPr>
        <w:t>（六）单位负责人为同一人或者存在直接控股、管理关系的不同供应商，不得参加同一合同项下的政府采购活动。相关情形如查实，依法作投标无效处理；涉嫌串通投标等违法行为的，主管部门将依法调查处理。</w:t>
      </w:r>
    </w:p>
    <w:p>
      <w:pPr>
        <w:pStyle w:val="48"/>
        <w:autoSpaceDE w:val="0"/>
        <w:autoSpaceDN w:val="0"/>
        <w:spacing w:line="400" w:lineRule="exact"/>
        <w:ind w:firstLine="422" w:firstLineChars="200"/>
        <w:rPr>
          <w:b/>
          <w:bCs/>
          <w:sz w:val="21"/>
          <w:szCs w:val="21"/>
        </w:rPr>
      </w:pPr>
      <w:r>
        <w:rPr>
          <w:rFonts w:hint="eastAsia" w:ascii="宋体" w:hAnsi="宋体"/>
          <w:b/>
          <w:bCs/>
          <w:sz w:val="21"/>
          <w:szCs w:val="21"/>
        </w:rPr>
        <w:t>四、本公司已充分知悉政府采购违法、违规行为的法律后果。</w:t>
      </w:r>
    </w:p>
    <w:p>
      <w:pPr>
        <w:pStyle w:val="48"/>
        <w:autoSpaceDE w:val="0"/>
        <w:autoSpaceDN w:val="0"/>
        <w:spacing w:line="400" w:lineRule="exact"/>
        <w:ind w:firstLine="404" w:firstLineChars="200"/>
        <w:rPr>
          <w:rFonts w:ascii="宋体" w:hAnsi="宋体"/>
          <w:b/>
          <w:bCs/>
          <w:spacing w:val="-4"/>
          <w:sz w:val="21"/>
          <w:szCs w:val="21"/>
        </w:rPr>
      </w:pPr>
      <w:r>
        <w:rPr>
          <w:rFonts w:hint="eastAsia" w:ascii="宋体" w:hAnsi="宋体"/>
          <w:spacing w:val="-4"/>
          <w:kern w:val="0"/>
          <w:sz w:val="21"/>
          <w:szCs w:val="21"/>
        </w:rPr>
        <w:t>经查实，若投标供应商存在政府采购违法、违规行为，主管部门将依据《深圳经济特区政府采购条例》第五十七条的规定，处以一至三年内禁止参与本市政府采购，并由主管部门记入供应商诚信档案，处采购金额千分之十以上千分之二十以下罚款；情节严重的，取消参与本市政府采购资格，处采购金额千分之二十以上千分之三十以下罚款，并由市场监管部门依法吊销营业执照。</w:t>
      </w:r>
      <w:r>
        <w:rPr>
          <w:rFonts w:hint="eastAsia" w:ascii="宋体" w:hAnsi="宋体"/>
          <w:b/>
          <w:bCs/>
          <w:spacing w:val="-4"/>
          <w:kern w:val="0"/>
          <w:sz w:val="21"/>
          <w:szCs w:val="21"/>
          <w:highlight w:val="yellow"/>
        </w:rPr>
        <w:t>以下文字请投标供应商抄写并确认：“本公司已仔细阅读《政府采购违法行为风险知悉确认书》，充分知悉违法行为的法律后果，并承诺将严谨、诚信、依法依规参与政府采购活动”。</w:t>
      </w:r>
    </w:p>
    <w:tbl>
      <w:tblPr>
        <w:tblStyle w:val="54"/>
        <w:tblW w:w="8529" w:type="dxa"/>
        <w:tblInd w:w="0" w:type="dxa"/>
        <w:tblBorders>
          <w:top w:val="none" w:color="auto" w:sz="0"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8529"/>
      </w:tblGrid>
      <w:tr>
        <w:tblPrEx>
          <w:tblBorders>
            <w:top w:val="none" w:color="auto" w:sz="0"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4" w:hRule="atLeast"/>
        </w:trPr>
        <w:tc>
          <w:tcPr>
            <w:tcW w:w="8529" w:type="dxa"/>
            <w:tcBorders>
              <w:top w:val="nil"/>
              <w:left w:val="nil"/>
              <w:bottom w:val="single" w:color="000000" w:sz="8" w:space="0"/>
              <w:right w:val="nil"/>
            </w:tcBorders>
          </w:tcPr>
          <w:p>
            <w:pPr>
              <w:pStyle w:val="48"/>
              <w:autoSpaceDE w:val="0"/>
              <w:autoSpaceDN w:val="0"/>
              <w:spacing w:before="231" w:after="231" w:line="400" w:lineRule="exact"/>
              <w:ind w:firstLine="808"/>
              <w:rPr>
                <w:rFonts w:ascii="宋体" w:hAnsi="宋体"/>
                <w:spacing w:val="-4"/>
                <w:sz w:val="21"/>
                <w:szCs w:val="21"/>
              </w:rPr>
            </w:pPr>
          </w:p>
        </w:tc>
      </w:tr>
      <w:tr>
        <w:tblPrEx>
          <w:tblBorders>
            <w:top w:val="none" w:color="auto" w:sz="0"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8529" w:type="dxa"/>
            <w:tcBorders>
              <w:top w:val="single" w:color="000000" w:sz="8" w:space="0"/>
              <w:left w:val="nil"/>
              <w:bottom w:val="single" w:color="000000" w:sz="8" w:space="0"/>
              <w:right w:val="nil"/>
            </w:tcBorders>
          </w:tcPr>
          <w:p>
            <w:pPr>
              <w:pStyle w:val="48"/>
              <w:autoSpaceDE w:val="0"/>
              <w:autoSpaceDN w:val="0"/>
              <w:spacing w:before="231" w:after="231" w:line="400" w:lineRule="exact"/>
              <w:ind w:firstLine="808"/>
              <w:rPr>
                <w:rFonts w:ascii="宋体" w:hAnsi="宋体"/>
                <w:spacing w:val="-4"/>
                <w:sz w:val="21"/>
                <w:szCs w:val="21"/>
              </w:rPr>
            </w:pPr>
          </w:p>
        </w:tc>
      </w:tr>
      <w:tr>
        <w:tblPrEx>
          <w:tblBorders>
            <w:top w:val="none" w:color="auto" w:sz="0"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8529" w:type="dxa"/>
            <w:tcBorders>
              <w:top w:val="single" w:color="000000" w:sz="8" w:space="0"/>
              <w:left w:val="nil"/>
              <w:bottom w:val="single" w:color="000000" w:sz="8" w:space="0"/>
              <w:right w:val="nil"/>
            </w:tcBorders>
          </w:tcPr>
          <w:p>
            <w:pPr>
              <w:pStyle w:val="48"/>
              <w:autoSpaceDE w:val="0"/>
              <w:autoSpaceDN w:val="0"/>
              <w:spacing w:before="231" w:after="231" w:line="400" w:lineRule="exact"/>
              <w:ind w:firstLine="808"/>
              <w:rPr>
                <w:rFonts w:ascii="宋体" w:hAnsi="宋体"/>
                <w:spacing w:val="-4"/>
                <w:sz w:val="21"/>
                <w:szCs w:val="21"/>
              </w:rPr>
            </w:pPr>
          </w:p>
        </w:tc>
      </w:tr>
      <w:tr>
        <w:tblPrEx>
          <w:tblBorders>
            <w:top w:val="none" w:color="auto" w:sz="0"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8529" w:type="dxa"/>
            <w:tcBorders>
              <w:top w:val="single" w:color="000000" w:sz="8" w:space="0"/>
              <w:left w:val="nil"/>
              <w:bottom w:val="single" w:color="auto" w:sz="8" w:space="0"/>
              <w:right w:val="nil"/>
            </w:tcBorders>
          </w:tcPr>
          <w:p>
            <w:pPr>
              <w:pStyle w:val="48"/>
              <w:autoSpaceDE w:val="0"/>
              <w:autoSpaceDN w:val="0"/>
              <w:spacing w:before="231" w:after="231" w:line="400" w:lineRule="exact"/>
              <w:ind w:firstLine="808"/>
              <w:rPr>
                <w:rFonts w:ascii="宋体" w:hAnsi="宋体"/>
                <w:spacing w:val="-4"/>
                <w:sz w:val="21"/>
                <w:szCs w:val="21"/>
              </w:rPr>
            </w:pPr>
          </w:p>
        </w:tc>
      </w:tr>
    </w:tbl>
    <w:p>
      <w:pPr>
        <w:pStyle w:val="48"/>
        <w:autoSpaceDE w:val="0"/>
        <w:autoSpaceDN w:val="0"/>
        <w:spacing w:line="400" w:lineRule="exact"/>
        <w:ind w:firstLine="406" w:firstLineChars="200"/>
        <w:rPr>
          <w:rFonts w:ascii="宋体" w:hAnsi="宋体"/>
          <w:b/>
          <w:bCs/>
          <w:color w:val="FF0000"/>
          <w:spacing w:val="-4"/>
          <w:sz w:val="21"/>
          <w:szCs w:val="21"/>
        </w:rPr>
      </w:pPr>
      <w:r>
        <w:rPr>
          <w:rFonts w:hint="eastAsia" w:ascii="宋体" w:hAnsi="宋体"/>
          <w:b/>
          <w:bCs/>
          <w:color w:val="FF0000"/>
          <w:spacing w:val="-4"/>
          <w:kern w:val="0"/>
          <w:sz w:val="21"/>
          <w:szCs w:val="21"/>
        </w:rPr>
        <w:t>注：1.政府采购违法行为风险知悉确认书不作为资格性审查及符合性审查条件。</w:t>
      </w:r>
    </w:p>
    <w:p>
      <w:pPr>
        <w:pStyle w:val="48"/>
        <w:numPr>
          <w:ilvl w:val="0"/>
          <w:numId w:val="16"/>
        </w:numPr>
        <w:autoSpaceDE w:val="0"/>
        <w:autoSpaceDN w:val="0"/>
        <w:spacing w:beforeAutospacing="1" w:afterAutospacing="1" w:line="400" w:lineRule="exact"/>
        <w:ind w:firstLine="406" w:firstLineChars="200"/>
        <w:jc w:val="left"/>
        <w:rPr>
          <w:rFonts w:ascii="宋体" w:hAnsi="宋体"/>
          <w:b/>
          <w:bCs/>
          <w:color w:val="FF0000"/>
          <w:spacing w:val="-4"/>
          <w:sz w:val="21"/>
          <w:szCs w:val="21"/>
        </w:rPr>
      </w:pPr>
      <w:r>
        <w:rPr>
          <w:rFonts w:hint="eastAsia" w:ascii="宋体" w:hAnsi="宋体"/>
          <w:b/>
          <w:bCs/>
          <w:color w:val="FF0000"/>
          <w:spacing w:val="-4"/>
          <w:kern w:val="0"/>
          <w:sz w:val="21"/>
          <w:szCs w:val="21"/>
        </w:rPr>
        <w:t>投标供应商负责人或投标授权代表签字并加盖单位公章后，扫描上传至投标文件一并提交。</w:t>
      </w:r>
    </w:p>
    <w:p>
      <w:pPr>
        <w:pStyle w:val="48"/>
        <w:autoSpaceDE w:val="0"/>
        <w:autoSpaceDN w:val="0"/>
        <w:spacing w:line="400" w:lineRule="exact"/>
        <w:rPr>
          <w:rFonts w:ascii="宋体" w:hAnsi="宋体"/>
          <w:b/>
          <w:bCs/>
          <w:color w:val="FF0000"/>
          <w:spacing w:val="-4"/>
          <w:sz w:val="21"/>
          <w:szCs w:val="21"/>
        </w:rPr>
      </w:pPr>
    </w:p>
    <w:p>
      <w:pPr>
        <w:pStyle w:val="48"/>
        <w:wordWrap w:val="0"/>
        <w:autoSpaceDE w:val="0"/>
        <w:autoSpaceDN w:val="0"/>
        <w:spacing w:line="400" w:lineRule="exact"/>
        <w:ind w:firstLine="404" w:firstLineChars="200"/>
        <w:rPr>
          <w:rFonts w:ascii="宋体" w:hAnsi="宋体"/>
          <w:spacing w:val="-4"/>
          <w:sz w:val="21"/>
          <w:szCs w:val="21"/>
        </w:rPr>
      </w:pPr>
      <w:r>
        <w:rPr>
          <w:rFonts w:hint="eastAsia" w:ascii="宋体" w:hAnsi="宋体"/>
          <w:spacing w:val="-4"/>
          <w:kern w:val="0"/>
          <w:sz w:val="21"/>
          <w:szCs w:val="21"/>
        </w:rPr>
        <w:t xml:space="preserve">负责人/投标授权代表签名：     </w:t>
      </w:r>
    </w:p>
    <w:p>
      <w:pPr>
        <w:pStyle w:val="48"/>
        <w:autoSpaceDE w:val="0"/>
        <w:autoSpaceDN w:val="0"/>
        <w:spacing w:line="400" w:lineRule="exact"/>
        <w:ind w:firstLine="404" w:firstLineChars="200"/>
      </w:pPr>
      <w:r>
        <w:rPr>
          <w:rFonts w:hint="eastAsia" w:ascii="宋体" w:hAnsi="宋体"/>
          <w:spacing w:val="-4"/>
          <w:kern w:val="0"/>
          <w:sz w:val="21"/>
          <w:szCs w:val="21"/>
        </w:rPr>
        <w:t xml:space="preserve">知悉人（公章）：     </w:t>
      </w:r>
      <w:r>
        <w:rPr>
          <w:rFonts w:hint="eastAsia"/>
        </w:rPr>
        <w:t xml:space="preserve">                                               </w:t>
      </w:r>
    </w:p>
    <w:p>
      <w:pPr>
        <w:pStyle w:val="48"/>
        <w:autoSpaceDE w:val="0"/>
        <w:autoSpaceDN w:val="0"/>
        <w:spacing w:line="400" w:lineRule="exact"/>
        <w:ind w:firstLine="404" w:firstLineChars="200"/>
      </w:pPr>
      <w:r>
        <w:rPr>
          <w:rFonts w:hint="eastAsia" w:ascii="宋体" w:hAnsi="宋体"/>
          <w:spacing w:val="-4"/>
          <w:kern w:val="0"/>
          <w:sz w:val="21"/>
          <w:szCs w:val="21"/>
        </w:rPr>
        <w:t>日期：</w:t>
      </w:r>
      <w:r>
        <w:rPr>
          <w:rFonts w:ascii="等线" w:hAnsi="等线"/>
          <w:b/>
          <w:bCs/>
          <w:sz w:val="32"/>
          <w:szCs w:val="32"/>
        </w:rPr>
        <w:br w:type="page"/>
      </w:r>
    </w:p>
    <w:p>
      <w:pPr>
        <w:pStyle w:val="3"/>
        <w:jc w:val="center"/>
        <w:rPr>
          <w:rFonts w:ascii="黑体" w:eastAsia="黑体"/>
          <w:b w:val="0"/>
          <w:kern w:val="0"/>
          <w:szCs w:val="28"/>
        </w:rPr>
      </w:pPr>
      <w:r>
        <w:rPr>
          <w:rFonts w:hint="eastAsia" w:ascii="黑体" w:hAnsi="黑体" w:eastAsia="黑体" w:cs="黑体"/>
          <w:b w:val="0"/>
          <w:bCs w:val="0"/>
          <w:sz w:val="32"/>
        </w:rPr>
        <w:t>八、报价一览表</w:t>
      </w:r>
    </w:p>
    <w:p>
      <w:pPr>
        <w:spacing w:line="360" w:lineRule="auto"/>
        <w:rPr>
          <w:rFonts w:ascii="宋体" w:hAnsi="宋体"/>
          <w:sz w:val="24"/>
        </w:rPr>
      </w:pPr>
    </w:p>
    <w:tbl>
      <w:tblPr>
        <w:tblStyle w:val="5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3"/>
        <w:gridCol w:w="2977"/>
        <w:gridCol w:w="3333"/>
        <w:gridCol w:w="13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803" w:type="dxa"/>
            <w:vAlign w:val="center"/>
          </w:tcPr>
          <w:p>
            <w:pPr>
              <w:tabs>
                <w:tab w:val="left" w:pos="654"/>
                <w:tab w:val="left" w:pos="1734"/>
                <w:tab w:val="left" w:pos="2814"/>
                <w:tab w:val="left" w:pos="3894"/>
                <w:tab w:val="left" w:pos="5334"/>
                <w:tab w:val="left" w:pos="6414"/>
                <w:tab w:val="left" w:pos="7254"/>
                <w:tab w:val="left" w:pos="8574"/>
                <w:tab w:val="left" w:pos="9654"/>
              </w:tabs>
              <w:spacing w:line="360" w:lineRule="auto"/>
              <w:jc w:val="center"/>
              <w:rPr>
                <w:rFonts w:ascii="宋体" w:hAnsi="宋体"/>
                <w:sz w:val="24"/>
              </w:rPr>
            </w:pPr>
            <w:r>
              <w:rPr>
                <w:rFonts w:hint="eastAsia" w:ascii="宋体" w:hAnsi="宋体"/>
                <w:sz w:val="24"/>
              </w:rPr>
              <w:t>包号</w:t>
            </w:r>
          </w:p>
        </w:tc>
        <w:tc>
          <w:tcPr>
            <w:tcW w:w="2977" w:type="dxa"/>
            <w:vAlign w:val="center"/>
          </w:tcPr>
          <w:p>
            <w:pPr>
              <w:tabs>
                <w:tab w:val="left" w:pos="654"/>
                <w:tab w:val="left" w:pos="1734"/>
                <w:tab w:val="left" w:pos="2814"/>
                <w:tab w:val="left" w:pos="3894"/>
                <w:tab w:val="left" w:pos="5334"/>
                <w:tab w:val="left" w:pos="6414"/>
                <w:tab w:val="left" w:pos="7254"/>
                <w:tab w:val="left" w:pos="8574"/>
                <w:tab w:val="left" w:pos="9654"/>
              </w:tabs>
              <w:spacing w:line="360" w:lineRule="auto"/>
              <w:jc w:val="center"/>
              <w:rPr>
                <w:rFonts w:ascii="宋体" w:hAnsi="宋体"/>
                <w:sz w:val="24"/>
              </w:rPr>
            </w:pPr>
            <w:r>
              <w:rPr>
                <w:rFonts w:hint="eastAsia" w:ascii="宋体" w:hAnsi="宋体"/>
                <w:sz w:val="24"/>
              </w:rPr>
              <w:t>项目名称</w:t>
            </w:r>
          </w:p>
        </w:tc>
        <w:tc>
          <w:tcPr>
            <w:tcW w:w="3333" w:type="dxa"/>
            <w:vAlign w:val="center"/>
          </w:tcPr>
          <w:p>
            <w:pPr>
              <w:tabs>
                <w:tab w:val="left" w:pos="654"/>
                <w:tab w:val="left" w:pos="1734"/>
                <w:tab w:val="left" w:pos="2814"/>
                <w:tab w:val="left" w:pos="3894"/>
                <w:tab w:val="left" w:pos="5334"/>
                <w:tab w:val="left" w:pos="6414"/>
                <w:tab w:val="left" w:pos="7254"/>
                <w:tab w:val="left" w:pos="8574"/>
                <w:tab w:val="left" w:pos="9654"/>
              </w:tabs>
              <w:spacing w:line="360" w:lineRule="auto"/>
              <w:jc w:val="center"/>
              <w:rPr>
                <w:rFonts w:ascii="宋体" w:hAnsi="宋体"/>
                <w:sz w:val="24"/>
              </w:rPr>
            </w:pPr>
            <w:r>
              <w:rPr>
                <w:rFonts w:hint="eastAsia" w:ascii="宋体" w:hAnsi="宋体"/>
                <w:sz w:val="24"/>
              </w:rPr>
              <w:t>投标总价（元/人民币）</w:t>
            </w:r>
          </w:p>
        </w:tc>
        <w:tc>
          <w:tcPr>
            <w:tcW w:w="1344" w:type="dxa"/>
            <w:vAlign w:val="center"/>
          </w:tcPr>
          <w:p>
            <w:pPr>
              <w:tabs>
                <w:tab w:val="left" w:pos="654"/>
                <w:tab w:val="left" w:pos="1734"/>
                <w:tab w:val="left" w:pos="2814"/>
                <w:tab w:val="left" w:pos="3894"/>
                <w:tab w:val="left" w:pos="5334"/>
                <w:tab w:val="left" w:pos="6414"/>
                <w:tab w:val="left" w:pos="7254"/>
                <w:tab w:val="left" w:pos="8574"/>
                <w:tab w:val="left" w:pos="9654"/>
              </w:tabs>
              <w:spacing w:line="360" w:lineRule="auto"/>
              <w:jc w:val="center"/>
              <w:rPr>
                <w:rFonts w:ascii="宋体" w:hAnsi="宋体"/>
                <w:sz w:val="24"/>
              </w:rPr>
            </w:pPr>
            <w:r>
              <w:rPr>
                <w:rFonts w:hint="eastAsia" w:ascii="宋体" w:hAnsi="宋体"/>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00" w:hRule="atLeast"/>
          <w:jc w:val="center"/>
        </w:trPr>
        <w:tc>
          <w:tcPr>
            <w:tcW w:w="803" w:type="dxa"/>
            <w:vAlign w:val="center"/>
          </w:tcPr>
          <w:p>
            <w:pPr>
              <w:tabs>
                <w:tab w:val="left" w:pos="654"/>
                <w:tab w:val="left" w:pos="1734"/>
                <w:tab w:val="left" w:pos="2814"/>
                <w:tab w:val="left" w:pos="3894"/>
                <w:tab w:val="left" w:pos="5334"/>
                <w:tab w:val="left" w:pos="6414"/>
                <w:tab w:val="left" w:pos="7254"/>
                <w:tab w:val="left" w:pos="8574"/>
                <w:tab w:val="left" w:pos="9654"/>
              </w:tabs>
              <w:spacing w:line="360" w:lineRule="auto"/>
              <w:jc w:val="center"/>
              <w:rPr>
                <w:rFonts w:ascii="宋体" w:hAnsi="宋体"/>
                <w:sz w:val="24"/>
              </w:rPr>
            </w:pPr>
            <w:r>
              <w:rPr>
                <w:rFonts w:ascii="宋体" w:hAnsi="宋体"/>
                <w:sz w:val="24"/>
              </w:rPr>
              <w:t>A</w:t>
            </w:r>
          </w:p>
        </w:tc>
        <w:tc>
          <w:tcPr>
            <w:tcW w:w="2977" w:type="dxa"/>
            <w:vAlign w:val="center"/>
          </w:tcPr>
          <w:p>
            <w:pPr>
              <w:tabs>
                <w:tab w:val="left" w:pos="654"/>
                <w:tab w:val="left" w:pos="1734"/>
                <w:tab w:val="left" w:pos="2814"/>
                <w:tab w:val="left" w:pos="3894"/>
                <w:tab w:val="left" w:pos="5334"/>
                <w:tab w:val="left" w:pos="6414"/>
                <w:tab w:val="left" w:pos="7254"/>
                <w:tab w:val="left" w:pos="8574"/>
                <w:tab w:val="left" w:pos="9654"/>
              </w:tabs>
              <w:spacing w:line="360" w:lineRule="auto"/>
              <w:jc w:val="center"/>
              <w:rPr>
                <w:rFonts w:ascii="宋体" w:hAnsi="宋体"/>
                <w:color w:val="FF0000"/>
                <w:sz w:val="24"/>
              </w:rPr>
            </w:pPr>
            <w:r>
              <w:rPr>
                <w:rFonts w:hint="eastAsia" w:ascii="宋体" w:hAnsi="宋体" w:eastAsia="宋体" w:cs="宋体"/>
                <w:szCs w:val="21"/>
              </w:rPr>
              <w:t>深圳大学总医院购买劳务派遣用工服务</w:t>
            </w:r>
          </w:p>
        </w:tc>
        <w:tc>
          <w:tcPr>
            <w:tcW w:w="3333" w:type="dxa"/>
            <w:vAlign w:val="center"/>
          </w:tcPr>
          <w:p>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宋体" w:hAnsi="宋体"/>
                <w:sz w:val="24"/>
              </w:rPr>
            </w:pPr>
            <w:r>
              <w:rPr>
                <w:rFonts w:hint="eastAsia" w:ascii="宋体" w:hAnsi="宋体"/>
                <w:sz w:val="24"/>
              </w:rPr>
              <w:t>小写金额：</w:t>
            </w:r>
          </w:p>
          <w:p>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宋体" w:hAnsi="宋体"/>
                <w:sz w:val="24"/>
              </w:rPr>
            </w:pPr>
            <w:r>
              <w:rPr>
                <w:rFonts w:hint="eastAsia" w:ascii="宋体" w:hAnsi="宋体"/>
                <w:sz w:val="24"/>
              </w:rPr>
              <w:t>大写金额：</w:t>
            </w:r>
          </w:p>
        </w:tc>
        <w:tc>
          <w:tcPr>
            <w:tcW w:w="1344" w:type="dxa"/>
            <w:vAlign w:val="center"/>
          </w:tcPr>
          <w:p>
            <w:pPr>
              <w:tabs>
                <w:tab w:val="left" w:pos="654"/>
                <w:tab w:val="left" w:pos="1734"/>
                <w:tab w:val="left" w:pos="2814"/>
                <w:tab w:val="left" w:pos="3894"/>
                <w:tab w:val="left" w:pos="5334"/>
                <w:tab w:val="left" w:pos="6414"/>
                <w:tab w:val="left" w:pos="7254"/>
                <w:tab w:val="left" w:pos="8574"/>
                <w:tab w:val="left" w:pos="9654"/>
              </w:tabs>
              <w:spacing w:line="360" w:lineRule="auto"/>
              <w:jc w:val="center"/>
              <w:rPr>
                <w:rFonts w:ascii="宋体" w:hAnsi="宋体"/>
                <w:sz w:val="24"/>
              </w:rPr>
            </w:pPr>
          </w:p>
        </w:tc>
      </w:tr>
    </w:tbl>
    <w:p>
      <w:pPr>
        <w:tabs>
          <w:tab w:val="left" w:pos="654"/>
          <w:tab w:val="left" w:pos="1734"/>
          <w:tab w:val="left" w:pos="2814"/>
          <w:tab w:val="left" w:pos="3894"/>
          <w:tab w:val="left" w:pos="5334"/>
          <w:tab w:val="left" w:pos="6414"/>
          <w:tab w:val="left" w:pos="7254"/>
          <w:tab w:val="left" w:pos="8574"/>
          <w:tab w:val="left" w:pos="9654"/>
        </w:tabs>
        <w:spacing w:line="360" w:lineRule="auto"/>
        <w:rPr>
          <w:rFonts w:ascii="宋体" w:hAnsi="宋体"/>
          <w:sz w:val="24"/>
        </w:rPr>
      </w:pPr>
      <w:r>
        <w:rPr>
          <w:rFonts w:ascii="宋体" w:hAnsi="宋体"/>
          <w:sz w:val="24"/>
        </w:rPr>
        <w:tab/>
      </w:r>
      <w:r>
        <w:rPr>
          <w:rFonts w:ascii="宋体" w:hAnsi="宋体"/>
          <w:sz w:val="24"/>
        </w:rPr>
        <w:tab/>
      </w:r>
      <w:r>
        <w:rPr>
          <w:rFonts w:ascii="宋体" w:hAnsi="宋体"/>
          <w:sz w:val="24"/>
        </w:rPr>
        <w:tab/>
      </w:r>
      <w:r>
        <w:rPr>
          <w:rFonts w:ascii="宋体" w:hAnsi="宋体"/>
          <w:sz w:val="24"/>
        </w:rPr>
        <w:tab/>
      </w:r>
      <w:r>
        <w:rPr>
          <w:rFonts w:ascii="宋体" w:hAnsi="宋体"/>
          <w:sz w:val="24"/>
        </w:rPr>
        <w:tab/>
      </w:r>
      <w:r>
        <w:rPr>
          <w:rFonts w:ascii="宋体" w:hAnsi="宋体"/>
          <w:sz w:val="24"/>
        </w:rPr>
        <w:tab/>
      </w:r>
      <w:r>
        <w:rPr>
          <w:rFonts w:ascii="宋体" w:hAnsi="宋体"/>
          <w:sz w:val="24"/>
        </w:rPr>
        <w:tab/>
      </w:r>
      <w:r>
        <w:rPr>
          <w:rFonts w:ascii="宋体" w:hAnsi="宋体"/>
          <w:sz w:val="24"/>
        </w:rPr>
        <w:tab/>
      </w:r>
    </w:p>
    <w:p>
      <w:pPr>
        <w:ind w:left="-840" w:leftChars="-400" w:firstLine="840" w:firstLineChars="350"/>
        <w:jc w:val="left"/>
        <w:rPr>
          <w:rFonts w:ascii="宋体" w:hAnsi="宋体"/>
          <w:sz w:val="24"/>
        </w:rPr>
      </w:pPr>
      <w:r>
        <w:rPr>
          <w:rFonts w:hint="eastAsia" w:ascii="宋体" w:hAnsi="宋体"/>
          <w:sz w:val="24"/>
        </w:rPr>
        <w:t>注：供应商应按要求填写投标总价的大写金额，如未填写，所产生的不利后果由供应商自行承担。</w:t>
      </w:r>
    </w:p>
    <w:p>
      <w:pPr>
        <w:spacing w:line="360" w:lineRule="auto"/>
        <w:rPr>
          <w:rFonts w:ascii="宋体" w:hAnsi="宋体"/>
          <w:sz w:val="24"/>
        </w:rPr>
      </w:pPr>
      <w:r>
        <w:rPr>
          <w:rFonts w:hint="eastAsia" w:ascii="宋体" w:hAnsi="宋体"/>
          <w:sz w:val="24"/>
        </w:rPr>
        <w:t>供应商如果需要对报价或其它内容加以说明，可在备注栏填写。</w:t>
      </w:r>
    </w:p>
    <w:p>
      <w:pPr>
        <w:spacing w:line="360" w:lineRule="auto"/>
        <w:rPr>
          <w:rFonts w:ascii="宋体" w:hAnsi="宋体"/>
          <w:sz w:val="24"/>
        </w:rPr>
      </w:pPr>
    </w:p>
    <w:p>
      <w:pPr>
        <w:pStyle w:val="3"/>
        <w:jc w:val="center"/>
        <w:rPr>
          <w:rFonts w:ascii="黑体" w:hAnsi="黑体" w:eastAsia="黑体" w:cs="黑体"/>
          <w:b w:val="0"/>
          <w:bCs w:val="0"/>
          <w:sz w:val="32"/>
        </w:rPr>
      </w:pPr>
      <w:r>
        <w:rPr>
          <w:rFonts w:hint="eastAsia" w:ascii="黑体" w:hAnsi="黑体" w:eastAsia="黑体" w:cs="黑体"/>
          <w:b w:val="0"/>
          <w:bCs w:val="0"/>
          <w:sz w:val="32"/>
        </w:rPr>
        <w:t>九、项目详细报价（可选）</w:t>
      </w:r>
    </w:p>
    <w:p>
      <w:pPr>
        <w:pStyle w:val="5"/>
        <w:rPr>
          <w:kern w:val="2"/>
          <w:sz w:val="32"/>
          <w:szCs w:val="32"/>
        </w:rPr>
      </w:pPr>
      <w:r>
        <w:rPr>
          <w:rFonts w:hint="eastAsia" w:ascii="Times New Roman" w:hAnsi="Times New Roman"/>
          <w:color w:val="FF0000"/>
          <w:kern w:val="2"/>
          <w:szCs w:val="24"/>
        </w:rPr>
        <w:t>（格式自定）</w:t>
      </w:r>
    </w:p>
    <w:p>
      <w:pPr>
        <w:keepNext/>
        <w:keepLines/>
        <w:spacing w:before="260" w:after="260"/>
        <w:jc w:val="left"/>
        <w:outlineLvl w:val="2"/>
        <w:rPr>
          <w:rFonts w:ascii="等线" w:hAnsi="等线"/>
          <w:b/>
          <w:bCs/>
          <w:color w:val="FF0000"/>
          <w:sz w:val="32"/>
          <w:szCs w:val="32"/>
        </w:rPr>
      </w:pPr>
      <w:r>
        <w:rPr>
          <w:rFonts w:ascii="等线" w:hAnsi="等线" w:eastAsia="宋体" w:cs="Times New Roman"/>
          <w:b/>
          <w:bCs/>
          <w:sz w:val="32"/>
          <w:szCs w:val="32"/>
        </w:rPr>
        <w:br w:type="page"/>
      </w:r>
      <w:r>
        <w:rPr>
          <w:rFonts w:hint="eastAsia" w:ascii="等线" w:hAnsi="等线" w:eastAsia="宋体" w:cs="Times New Roman"/>
          <w:b/>
          <w:bCs/>
          <w:color w:val="FF0000"/>
          <w:sz w:val="32"/>
          <w:szCs w:val="32"/>
        </w:rPr>
        <w:t>投标文件第二部分：</w:t>
      </w:r>
    </w:p>
    <w:p>
      <w:pPr>
        <w:keepNext/>
        <w:keepLines/>
        <w:spacing w:before="120" w:after="120"/>
        <w:jc w:val="center"/>
        <w:outlineLvl w:val="2"/>
      </w:pPr>
      <w:r>
        <w:rPr>
          <w:rFonts w:hint="eastAsia" w:ascii="等线" w:hAnsi="等线" w:cs="Times New Roman"/>
          <w:b/>
          <w:bCs/>
          <w:sz w:val="32"/>
          <w:szCs w:val="32"/>
        </w:rPr>
        <w:t>一、</w:t>
      </w:r>
      <w:r>
        <w:rPr>
          <w:rFonts w:hint="eastAsia" w:ascii="等线" w:hAnsi="等线" w:eastAsia="宋体" w:cs="Times New Roman"/>
          <w:b/>
          <w:bCs/>
          <w:sz w:val="32"/>
          <w:szCs w:val="32"/>
        </w:rPr>
        <w:t>投标文件签署授权委托书</w:t>
      </w:r>
    </w:p>
    <w:p>
      <w:pPr>
        <w:pStyle w:val="2"/>
        <w:jc w:val="both"/>
      </w:pPr>
    </w:p>
    <w:p>
      <w:pPr>
        <w:spacing w:line="360" w:lineRule="auto"/>
        <w:ind w:firstLine="420" w:firstLineChars="200"/>
        <w:rPr>
          <w:szCs w:val="21"/>
        </w:rPr>
      </w:pPr>
      <w:r>
        <w:rPr>
          <w:rFonts w:hint="eastAsia" w:ascii="Times New Roman" w:hAnsi="Times New Roman" w:eastAsia="宋体" w:cs="Times New Roman"/>
          <w:szCs w:val="21"/>
        </w:rPr>
        <w:t>本授权委托书声明：我</w:t>
      </w:r>
      <w:r>
        <w:rPr>
          <w:rFonts w:hint="eastAsia" w:ascii="Times New Roman" w:hAnsi="Times New Roman" w:eastAsia="宋体" w:cs="Times New Roman"/>
          <w:szCs w:val="21"/>
          <w:u w:val="single"/>
        </w:rPr>
        <w:t xml:space="preserve">           </w:t>
      </w:r>
      <w:r>
        <w:rPr>
          <w:rFonts w:hint="eastAsia" w:ascii="Times New Roman" w:hAnsi="Times New Roman" w:eastAsia="宋体" w:cs="Times New Roman"/>
          <w:szCs w:val="21"/>
        </w:rPr>
        <w:t>（姓名）系</w:t>
      </w:r>
      <w:r>
        <w:rPr>
          <w:rFonts w:hint="eastAsia" w:ascii="Times New Roman" w:hAnsi="Times New Roman" w:eastAsia="宋体" w:cs="Times New Roman"/>
          <w:szCs w:val="21"/>
          <w:u w:val="single"/>
        </w:rPr>
        <w:t xml:space="preserve">             </w:t>
      </w:r>
      <w:r>
        <w:rPr>
          <w:rFonts w:hint="eastAsia" w:ascii="Times New Roman" w:hAnsi="Times New Roman" w:eastAsia="宋体" w:cs="Times New Roman"/>
          <w:szCs w:val="21"/>
        </w:rPr>
        <w:t>（投标人名称）的法定代表人，现授权委托</w:t>
      </w:r>
      <w:r>
        <w:rPr>
          <w:rFonts w:hint="eastAsia" w:ascii="Times New Roman" w:hAnsi="Times New Roman" w:eastAsia="宋体" w:cs="Times New Roman"/>
          <w:szCs w:val="21"/>
          <w:u w:val="single"/>
        </w:rPr>
        <w:t xml:space="preserve">                     </w:t>
      </w:r>
      <w:r>
        <w:rPr>
          <w:rFonts w:hint="eastAsia" w:ascii="Times New Roman" w:hAnsi="Times New Roman" w:eastAsia="宋体" w:cs="Times New Roman"/>
          <w:szCs w:val="21"/>
        </w:rPr>
        <w:t>（单位名称）的</w:t>
      </w:r>
      <w:r>
        <w:rPr>
          <w:rFonts w:hint="eastAsia" w:ascii="Times New Roman" w:hAnsi="Times New Roman" w:eastAsia="宋体" w:cs="Times New Roman"/>
          <w:szCs w:val="21"/>
          <w:u w:val="single"/>
        </w:rPr>
        <w:t xml:space="preserve">            </w:t>
      </w:r>
      <w:r>
        <w:rPr>
          <w:rFonts w:hint="eastAsia" w:ascii="Times New Roman" w:hAnsi="Times New Roman" w:eastAsia="宋体" w:cs="Times New Roman"/>
          <w:szCs w:val="21"/>
        </w:rPr>
        <w:t>（姓名）为我公司签署本项目递交的投标文件的法定代表人的授权委托代理人，代理人全权代表我所签署的本项目递交的投标文件的内容我均承认。</w:t>
      </w:r>
    </w:p>
    <w:p>
      <w:pPr>
        <w:spacing w:line="360" w:lineRule="auto"/>
        <w:ind w:firstLine="420"/>
        <w:rPr>
          <w:szCs w:val="21"/>
        </w:rPr>
      </w:pPr>
      <w:r>
        <w:rPr>
          <w:rFonts w:hint="eastAsia" w:ascii="Times New Roman" w:hAnsi="Times New Roman" w:eastAsia="宋体" w:cs="Times New Roman"/>
          <w:szCs w:val="21"/>
        </w:rPr>
        <w:t>有效期限：与本公司投标文件中标注的投标有效期相同，自法定代表人签字之日起生效。</w:t>
      </w:r>
    </w:p>
    <w:p>
      <w:pPr>
        <w:spacing w:line="360" w:lineRule="auto"/>
        <w:ind w:firstLine="420"/>
        <w:rPr>
          <w:szCs w:val="21"/>
        </w:rPr>
      </w:pPr>
      <w:r>
        <w:rPr>
          <w:rFonts w:hint="eastAsia" w:ascii="Times New Roman" w:hAnsi="Times New Roman" w:eastAsia="宋体" w:cs="Times New Roman"/>
          <w:szCs w:val="21"/>
        </w:rPr>
        <w:t>代理人无转委托权，特此委托。</w:t>
      </w:r>
    </w:p>
    <w:p>
      <w:pPr>
        <w:spacing w:line="360" w:lineRule="auto"/>
        <w:ind w:firstLine="420"/>
        <w:rPr>
          <w:szCs w:val="21"/>
        </w:rPr>
      </w:pPr>
    </w:p>
    <w:p>
      <w:pPr>
        <w:spacing w:line="360" w:lineRule="auto"/>
        <w:ind w:left="540" w:leftChars="257"/>
        <w:rPr>
          <w:szCs w:val="21"/>
          <w:u w:val="single"/>
        </w:rPr>
      </w:pPr>
      <w:r>
        <w:rPr>
          <w:rFonts w:hint="eastAsia" w:ascii="Times New Roman" w:hAnsi="Times New Roman" w:eastAsia="宋体" w:cs="Times New Roman"/>
          <w:szCs w:val="21"/>
        </w:rPr>
        <w:t>代理人：</w:t>
      </w:r>
      <w:r>
        <w:rPr>
          <w:rFonts w:hint="eastAsia" w:ascii="Times New Roman" w:hAnsi="Times New Roman" w:eastAsia="宋体" w:cs="Times New Roman"/>
          <w:szCs w:val="21"/>
          <w:u w:val="single"/>
        </w:rPr>
        <w:t xml:space="preserve">                  </w:t>
      </w:r>
      <w:r>
        <w:rPr>
          <w:rFonts w:hint="eastAsia" w:ascii="Times New Roman" w:hAnsi="Times New Roman" w:eastAsia="宋体" w:cs="Times New Roman"/>
          <w:szCs w:val="21"/>
        </w:rPr>
        <w:t xml:space="preserve">  职务：</w:t>
      </w:r>
      <w:r>
        <w:rPr>
          <w:rFonts w:hint="eastAsia" w:ascii="Times New Roman" w:hAnsi="Times New Roman" w:eastAsia="宋体" w:cs="Times New Roman"/>
          <w:szCs w:val="21"/>
          <w:u w:val="single"/>
        </w:rPr>
        <w:t xml:space="preserve">       </w:t>
      </w:r>
    </w:p>
    <w:p>
      <w:pPr>
        <w:spacing w:line="360" w:lineRule="auto"/>
        <w:ind w:left="540" w:leftChars="257"/>
        <w:rPr>
          <w:szCs w:val="21"/>
        </w:rPr>
      </w:pPr>
      <w:r>
        <w:rPr>
          <w:rFonts w:hint="eastAsia" w:ascii="Times New Roman" w:hAnsi="Times New Roman" w:eastAsia="宋体" w:cs="Times New Roman"/>
          <w:szCs w:val="21"/>
        </w:rPr>
        <w:t>联系电话：</w:t>
      </w:r>
      <w:r>
        <w:rPr>
          <w:rFonts w:hint="eastAsia" w:ascii="Times New Roman" w:hAnsi="Times New Roman" w:eastAsia="宋体" w:cs="Times New Roman"/>
          <w:szCs w:val="21"/>
          <w:u w:val="single"/>
        </w:rPr>
        <w:t xml:space="preserve">                    </w:t>
      </w:r>
    </w:p>
    <w:p>
      <w:pPr>
        <w:spacing w:line="360" w:lineRule="auto"/>
        <w:ind w:left="540" w:leftChars="257"/>
        <w:rPr>
          <w:szCs w:val="21"/>
          <w:u w:val="single"/>
        </w:rPr>
      </w:pPr>
      <w:r>
        <w:rPr>
          <w:rFonts w:hint="eastAsia" w:ascii="Times New Roman" w:hAnsi="Times New Roman" w:eastAsia="宋体" w:cs="Times New Roman"/>
          <w:szCs w:val="21"/>
        </w:rPr>
        <w:t>身份证号码：</w:t>
      </w:r>
      <w:r>
        <w:rPr>
          <w:rFonts w:hint="eastAsia" w:ascii="Times New Roman" w:hAnsi="Times New Roman" w:eastAsia="宋体" w:cs="Times New Roman"/>
          <w:szCs w:val="21"/>
          <w:u w:val="single"/>
        </w:rPr>
        <w:t xml:space="preserve">                        </w:t>
      </w:r>
    </w:p>
    <w:p>
      <w:pPr>
        <w:spacing w:line="360" w:lineRule="auto"/>
        <w:ind w:left="540" w:leftChars="257"/>
        <w:rPr>
          <w:szCs w:val="21"/>
        </w:rPr>
      </w:pPr>
    </w:p>
    <w:p>
      <w:pPr>
        <w:spacing w:line="360" w:lineRule="auto"/>
        <w:ind w:left="540" w:leftChars="257"/>
        <w:rPr>
          <w:szCs w:val="21"/>
        </w:rPr>
      </w:pPr>
      <w:r>
        <w:rPr>
          <w:rFonts w:hint="eastAsia" w:ascii="Times New Roman" w:hAnsi="Times New Roman" w:eastAsia="宋体" w:cs="Times New Roman"/>
          <w:szCs w:val="21"/>
        </w:rPr>
        <w:t>投标人（公司名称）：</w:t>
      </w:r>
      <w:r>
        <w:rPr>
          <w:rFonts w:hint="eastAsia" w:ascii="Times New Roman" w:hAnsi="Times New Roman" w:eastAsia="宋体" w:cs="Times New Roman"/>
          <w:szCs w:val="21"/>
          <w:u w:val="single"/>
        </w:rPr>
        <w:t xml:space="preserve">                                    </w:t>
      </w:r>
      <w:r>
        <w:rPr>
          <w:rFonts w:hint="eastAsia" w:ascii="Times New Roman" w:hAnsi="Times New Roman" w:eastAsia="宋体" w:cs="Times New Roman"/>
          <w:szCs w:val="21"/>
        </w:rPr>
        <w:t>（公章）</w:t>
      </w:r>
    </w:p>
    <w:p>
      <w:pPr>
        <w:spacing w:line="360" w:lineRule="auto"/>
        <w:ind w:left="540" w:leftChars="257"/>
        <w:rPr>
          <w:szCs w:val="21"/>
        </w:rPr>
      </w:pPr>
      <w:r>
        <w:rPr>
          <w:rFonts w:hint="eastAsia" w:ascii="Times New Roman" w:hAnsi="Times New Roman" w:eastAsia="宋体" w:cs="Times New Roman"/>
          <w:szCs w:val="21"/>
        </w:rPr>
        <w:t>法定代表人：</w:t>
      </w:r>
      <w:r>
        <w:rPr>
          <w:rFonts w:hint="eastAsia" w:ascii="Times New Roman" w:hAnsi="Times New Roman" w:eastAsia="宋体" w:cs="Times New Roman"/>
          <w:szCs w:val="21"/>
          <w:u w:val="single"/>
        </w:rPr>
        <w:t xml:space="preserve">                 </w:t>
      </w:r>
      <w:r>
        <w:rPr>
          <w:rFonts w:hint="eastAsia" w:ascii="Times New Roman" w:hAnsi="Times New Roman" w:eastAsia="宋体" w:cs="Times New Roman"/>
          <w:szCs w:val="21"/>
        </w:rPr>
        <w:t xml:space="preserve"> （签名或</w:t>
      </w:r>
      <w:r>
        <w:rPr>
          <w:rFonts w:ascii="Times New Roman" w:hAnsi="Times New Roman" w:eastAsia="宋体" w:cs="Times New Roman"/>
          <w:szCs w:val="21"/>
        </w:rPr>
        <w:t>签章</w:t>
      </w:r>
      <w:r>
        <w:rPr>
          <w:rFonts w:hint="eastAsia" w:ascii="Times New Roman" w:hAnsi="Times New Roman" w:eastAsia="宋体" w:cs="Times New Roman"/>
          <w:szCs w:val="21"/>
        </w:rPr>
        <w:t>）</w:t>
      </w:r>
    </w:p>
    <w:p>
      <w:pPr>
        <w:spacing w:line="360" w:lineRule="auto"/>
        <w:ind w:left="540" w:leftChars="257"/>
        <w:rPr>
          <w:szCs w:val="21"/>
        </w:rPr>
      </w:pPr>
      <w:r>
        <w:rPr>
          <w:rFonts w:hint="eastAsia" w:ascii="Times New Roman" w:hAnsi="Times New Roman" w:eastAsia="宋体" w:cs="Times New Roman"/>
          <w:szCs w:val="21"/>
        </w:rPr>
        <w:t>授权委托日期：</w:t>
      </w:r>
      <w:r>
        <w:rPr>
          <w:rFonts w:hint="eastAsia" w:ascii="Times New Roman" w:hAnsi="Times New Roman" w:eastAsia="宋体" w:cs="Times New Roman"/>
          <w:szCs w:val="21"/>
          <w:u w:val="single"/>
        </w:rPr>
        <w:t xml:space="preserve">         </w:t>
      </w:r>
      <w:r>
        <w:rPr>
          <w:rFonts w:hint="eastAsia" w:ascii="Times New Roman" w:hAnsi="Times New Roman" w:eastAsia="宋体" w:cs="Times New Roman"/>
          <w:szCs w:val="21"/>
        </w:rPr>
        <w:t>年</w:t>
      </w:r>
      <w:r>
        <w:rPr>
          <w:rFonts w:hint="eastAsia" w:ascii="Times New Roman" w:hAnsi="Times New Roman" w:eastAsia="宋体" w:cs="Times New Roman"/>
          <w:szCs w:val="21"/>
          <w:u w:val="single"/>
        </w:rPr>
        <w:t xml:space="preserve">     </w:t>
      </w:r>
      <w:r>
        <w:rPr>
          <w:rFonts w:hint="eastAsia" w:ascii="Times New Roman" w:hAnsi="Times New Roman" w:eastAsia="宋体" w:cs="Times New Roman"/>
          <w:szCs w:val="21"/>
        </w:rPr>
        <w:t xml:space="preserve">月 </w:t>
      </w:r>
      <w:r>
        <w:rPr>
          <w:rFonts w:hint="eastAsia" w:ascii="Times New Roman" w:hAnsi="Times New Roman" w:eastAsia="宋体" w:cs="Times New Roman"/>
          <w:szCs w:val="21"/>
          <w:u w:val="single"/>
        </w:rPr>
        <w:t xml:space="preserve">      </w:t>
      </w:r>
      <w:r>
        <w:rPr>
          <w:rFonts w:hint="eastAsia" w:ascii="Times New Roman" w:hAnsi="Times New Roman" w:eastAsia="宋体" w:cs="Times New Roman"/>
          <w:szCs w:val="21"/>
        </w:rPr>
        <w:t>日</w:t>
      </w:r>
    </w:p>
    <w:p/>
    <w:p>
      <w:pPr>
        <w:jc w:val="left"/>
        <w:rPr>
          <w:b/>
          <w:sz w:val="32"/>
          <w:szCs w:val="32"/>
        </w:rPr>
      </w:pPr>
    </w:p>
    <w:p>
      <w:pPr>
        <w:jc w:val="left"/>
        <w:rPr>
          <w:b/>
          <w:color w:val="FF0000"/>
          <w:sz w:val="32"/>
          <w:szCs w:val="32"/>
        </w:rPr>
      </w:pPr>
      <w:r>
        <w:rPr>
          <w:rFonts w:hint="eastAsia"/>
          <w:b/>
          <w:color w:val="FF0000"/>
          <w:sz w:val="32"/>
          <w:szCs w:val="32"/>
        </w:rPr>
        <w:t>其它内容格式自定：</w:t>
      </w:r>
    </w:p>
    <w:p>
      <w:pPr>
        <w:tabs>
          <w:tab w:val="left" w:pos="2970"/>
        </w:tabs>
        <w:rPr>
          <w:rFonts w:ascii="仿宋_GB2312" w:eastAsia="仿宋_GB2312"/>
          <w:color w:val="FF0000"/>
        </w:rPr>
      </w:pPr>
      <w:r>
        <w:rPr>
          <w:rFonts w:hint="eastAsia" w:ascii="仿宋_GB2312" w:eastAsia="仿宋_GB2312"/>
          <w:color w:val="FF0000"/>
        </w:rPr>
        <w:t>被授权人近一个月在投标单位缴纳社保的证明（社保证明资料可为社保收缴部门盖章证明资料、社保窗口打印资料或含网址栏的社保官网截图，代缴或补缴无效。如报名截止上一个月的社保材料因社保部门原因暂时无法取得，则可以往前顺延一个月。复印件加盖公章）；</w:t>
      </w:r>
    </w:p>
    <w:p>
      <w:pPr>
        <w:tabs>
          <w:tab w:val="left" w:pos="2970"/>
        </w:tabs>
        <w:rPr>
          <w:rFonts w:ascii="仿宋_GB2312" w:eastAsia="仿宋_GB2312"/>
        </w:rPr>
      </w:pPr>
    </w:p>
    <w:p>
      <w:pPr>
        <w:jc w:val="left"/>
        <w:rPr>
          <w:b/>
          <w:color w:val="FF0000"/>
          <w:sz w:val="32"/>
          <w:szCs w:val="32"/>
        </w:rPr>
      </w:pPr>
    </w:p>
    <w:p>
      <w:pPr>
        <w:jc w:val="left"/>
        <w:rPr>
          <w:b/>
          <w:color w:val="FF0000"/>
          <w:sz w:val="32"/>
          <w:szCs w:val="32"/>
        </w:rPr>
      </w:pPr>
    </w:p>
    <w:p>
      <w:pPr>
        <w:jc w:val="left"/>
        <w:rPr>
          <w:b/>
          <w:color w:val="FF0000"/>
          <w:sz w:val="32"/>
          <w:szCs w:val="32"/>
        </w:rPr>
      </w:pPr>
    </w:p>
    <w:p>
      <w:pPr>
        <w:jc w:val="left"/>
        <w:rPr>
          <w:b/>
          <w:color w:val="FF0000"/>
          <w:sz w:val="32"/>
          <w:szCs w:val="32"/>
        </w:rPr>
      </w:pPr>
    </w:p>
    <w:p>
      <w:pPr>
        <w:jc w:val="left"/>
        <w:rPr>
          <w:b/>
          <w:color w:val="FF0000"/>
          <w:sz w:val="32"/>
          <w:szCs w:val="32"/>
        </w:rPr>
      </w:pPr>
    </w:p>
    <w:p>
      <w:pPr>
        <w:jc w:val="left"/>
        <w:rPr>
          <w:b/>
          <w:color w:val="FF0000"/>
          <w:sz w:val="32"/>
          <w:szCs w:val="32"/>
        </w:rPr>
      </w:pPr>
    </w:p>
    <w:p>
      <w:pPr>
        <w:jc w:val="left"/>
        <w:rPr>
          <w:b/>
          <w:color w:val="FF0000"/>
          <w:sz w:val="32"/>
          <w:szCs w:val="32"/>
        </w:rPr>
      </w:pPr>
    </w:p>
    <w:p>
      <w:pPr>
        <w:jc w:val="left"/>
        <w:rPr>
          <w:b/>
          <w:color w:val="FF0000"/>
          <w:sz w:val="32"/>
          <w:szCs w:val="32"/>
        </w:rPr>
      </w:pPr>
    </w:p>
    <w:p>
      <w:pPr>
        <w:jc w:val="left"/>
        <w:rPr>
          <w:b/>
          <w:color w:val="FF0000"/>
          <w:sz w:val="32"/>
          <w:szCs w:val="32"/>
        </w:rPr>
      </w:pPr>
    </w:p>
    <w:p>
      <w:pPr>
        <w:jc w:val="left"/>
        <w:rPr>
          <w:b/>
          <w:color w:val="FF0000"/>
          <w:sz w:val="32"/>
          <w:szCs w:val="32"/>
        </w:rPr>
      </w:pPr>
    </w:p>
    <w:p>
      <w:pPr>
        <w:jc w:val="left"/>
        <w:rPr>
          <w:b/>
          <w:color w:val="FF0000"/>
          <w:sz w:val="32"/>
          <w:szCs w:val="32"/>
        </w:rPr>
      </w:pPr>
    </w:p>
    <w:p>
      <w:pPr>
        <w:jc w:val="left"/>
        <w:rPr>
          <w:b/>
          <w:color w:val="FF0000"/>
          <w:sz w:val="32"/>
          <w:szCs w:val="32"/>
        </w:rPr>
      </w:pPr>
    </w:p>
    <w:p>
      <w:pPr>
        <w:jc w:val="left"/>
        <w:rPr>
          <w:color w:val="FF0000"/>
        </w:rPr>
      </w:pPr>
    </w:p>
    <w:p>
      <w:pPr>
        <w:jc w:val="left"/>
        <w:rPr>
          <w:color w:val="FF0000"/>
        </w:rPr>
      </w:pPr>
    </w:p>
    <w:p>
      <w:pPr>
        <w:jc w:val="left"/>
        <w:rPr>
          <w:color w:val="FF0000"/>
        </w:rPr>
      </w:pPr>
    </w:p>
    <w:p>
      <w:pPr>
        <w:jc w:val="left"/>
        <w:rPr>
          <w:color w:val="FF0000"/>
        </w:rPr>
      </w:pPr>
    </w:p>
    <w:p>
      <w:pPr>
        <w:jc w:val="left"/>
        <w:rPr>
          <w:color w:val="FF0000"/>
        </w:rPr>
      </w:pPr>
    </w:p>
    <w:p>
      <w:pPr>
        <w:jc w:val="left"/>
        <w:rPr>
          <w:color w:val="FF0000"/>
        </w:rPr>
      </w:pPr>
    </w:p>
    <w:p>
      <w:pPr>
        <w:jc w:val="left"/>
        <w:rPr>
          <w:color w:val="FF0000"/>
        </w:rPr>
      </w:pPr>
    </w:p>
    <w:p>
      <w:pPr>
        <w:jc w:val="left"/>
        <w:rPr>
          <w:color w:val="FF0000"/>
        </w:rPr>
      </w:pPr>
    </w:p>
    <w:p>
      <w:pPr>
        <w:jc w:val="left"/>
        <w:rPr>
          <w:color w:val="FF0000"/>
        </w:rPr>
      </w:pPr>
    </w:p>
    <w:p>
      <w:pPr>
        <w:jc w:val="left"/>
        <w:rPr>
          <w:color w:val="FF0000"/>
        </w:rPr>
      </w:pPr>
    </w:p>
    <w:p>
      <w:pPr>
        <w:jc w:val="left"/>
        <w:rPr>
          <w:color w:val="FF0000"/>
        </w:rPr>
      </w:pPr>
    </w:p>
    <w:p>
      <w:pPr>
        <w:jc w:val="left"/>
        <w:rPr>
          <w:color w:val="FF0000"/>
        </w:rPr>
      </w:pPr>
    </w:p>
    <w:p>
      <w:pPr>
        <w:keepNext/>
        <w:keepLines/>
        <w:numPr>
          <w:ilvl w:val="0"/>
          <w:numId w:val="17"/>
        </w:numPr>
        <w:spacing w:before="260" w:after="260"/>
        <w:jc w:val="center"/>
        <w:outlineLvl w:val="2"/>
        <w:rPr>
          <w:b/>
          <w:bCs/>
          <w:sz w:val="32"/>
          <w:szCs w:val="32"/>
        </w:rPr>
      </w:pPr>
      <w:r>
        <w:rPr>
          <w:rFonts w:hint="eastAsia" w:ascii="黑体" w:hAnsi="黑体" w:eastAsia="黑体" w:cs="黑体"/>
          <w:sz w:val="32"/>
          <w:szCs w:val="32"/>
        </w:rPr>
        <w:t>实施方案</w:t>
      </w:r>
    </w:p>
    <w:p>
      <w:pPr>
        <w:rPr>
          <w:b/>
          <w:bCs/>
          <w:color w:val="FF0000"/>
          <w:sz w:val="24"/>
        </w:rPr>
      </w:pPr>
      <w:r>
        <w:rPr>
          <w:rFonts w:hint="eastAsia" w:ascii="Times New Roman" w:hAnsi="Times New Roman" w:eastAsia="宋体" w:cs="Times New Roman"/>
          <w:b/>
          <w:bCs/>
          <w:color w:val="FF0000"/>
          <w:sz w:val="24"/>
          <w:szCs w:val="24"/>
        </w:rPr>
        <w:t>（特别提示：投标人须按本招标文件“关键信息”的“</w:t>
      </w:r>
      <w:r>
        <w:rPr>
          <w:rFonts w:ascii="Times New Roman" w:hAnsi="Times New Roman" w:eastAsia="宋体" w:cs="Times New Roman"/>
          <w:b/>
          <w:bCs/>
          <w:color w:val="FF0000"/>
          <w:sz w:val="24"/>
          <w:szCs w:val="24"/>
        </w:rPr>
        <w:t>评标信息</w:t>
      </w:r>
      <w:r>
        <w:rPr>
          <w:rFonts w:hint="eastAsia" w:ascii="Times New Roman" w:hAnsi="Times New Roman" w:eastAsia="宋体" w:cs="Times New Roman"/>
          <w:b/>
          <w:bCs/>
          <w:color w:val="FF0000"/>
          <w:sz w:val="24"/>
          <w:szCs w:val="24"/>
        </w:rPr>
        <w:t>”</w:t>
      </w:r>
      <w:r>
        <w:rPr>
          <w:rFonts w:ascii="Times New Roman" w:hAnsi="Times New Roman" w:eastAsia="宋体" w:cs="Times New Roman"/>
          <w:b/>
          <w:bCs/>
          <w:color w:val="FF0000"/>
          <w:sz w:val="24"/>
          <w:szCs w:val="24"/>
        </w:rPr>
        <w:t>中</w:t>
      </w:r>
      <w:r>
        <w:rPr>
          <w:rFonts w:hint="eastAsia" w:ascii="Times New Roman" w:hAnsi="Times New Roman" w:eastAsia="宋体" w:cs="Times New Roman"/>
          <w:b/>
          <w:bCs/>
          <w:color w:val="FF0000"/>
          <w:sz w:val="24"/>
          <w:szCs w:val="24"/>
        </w:rPr>
        <w:t>关于“实施方案 ”</w:t>
      </w:r>
      <w:r>
        <w:rPr>
          <w:rFonts w:ascii="Times New Roman" w:hAnsi="Times New Roman" w:eastAsia="宋体" w:cs="Times New Roman"/>
          <w:b/>
          <w:bCs/>
          <w:color w:val="FF0000"/>
          <w:sz w:val="24"/>
          <w:szCs w:val="24"/>
        </w:rPr>
        <w:t>的要求</w:t>
      </w:r>
      <w:r>
        <w:rPr>
          <w:rFonts w:hint="eastAsia" w:ascii="Times New Roman" w:hAnsi="Times New Roman" w:eastAsia="宋体" w:cs="Times New Roman"/>
          <w:b/>
          <w:bCs/>
          <w:color w:val="FF0000"/>
          <w:sz w:val="24"/>
          <w:szCs w:val="24"/>
        </w:rPr>
        <w:t>提供相关的文件。）</w:t>
      </w:r>
    </w:p>
    <w:p>
      <w:pPr>
        <w:pStyle w:val="2"/>
      </w:pPr>
    </w:p>
    <w:p>
      <w:pPr>
        <w:keepNext/>
        <w:keepLines/>
        <w:numPr>
          <w:ilvl w:val="0"/>
          <w:numId w:val="17"/>
        </w:numPr>
        <w:spacing w:before="260" w:after="260"/>
        <w:jc w:val="center"/>
        <w:outlineLvl w:val="2"/>
        <w:rPr>
          <w:rFonts w:ascii="黑体" w:hAnsi="黑体" w:eastAsia="黑体" w:cs="黑体"/>
          <w:sz w:val="32"/>
          <w:szCs w:val="32"/>
        </w:rPr>
      </w:pPr>
      <w:r>
        <w:rPr>
          <w:rFonts w:hint="eastAsia" w:ascii="黑体" w:hAnsi="黑体" w:eastAsia="黑体" w:cs="黑体"/>
          <w:sz w:val="32"/>
          <w:szCs w:val="32"/>
        </w:rPr>
        <w:t>项目特色、亮点及相关的合理化建议</w:t>
      </w:r>
    </w:p>
    <w:p>
      <w:pPr>
        <w:rPr>
          <w:b/>
          <w:bCs/>
          <w:color w:val="FF0000"/>
          <w:sz w:val="24"/>
        </w:rPr>
      </w:pPr>
      <w:r>
        <w:rPr>
          <w:rFonts w:hint="eastAsia" w:ascii="Times New Roman" w:hAnsi="Times New Roman" w:eastAsia="宋体" w:cs="Times New Roman"/>
          <w:b/>
          <w:bCs/>
          <w:color w:val="FF0000"/>
          <w:sz w:val="24"/>
          <w:szCs w:val="24"/>
        </w:rPr>
        <w:t>（特别提示：投标人须按本招标文件“关键信息”的“</w:t>
      </w:r>
      <w:r>
        <w:rPr>
          <w:rFonts w:ascii="Times New Roman" w:hAnsi="Times New Roman" w:eastAsia="宋体" w:cs="Times New Roman"/>
          <w:b/>
          <w:bCs/>
          <w:color w:val="FF0000"/>
          <w:sz w:val="24"/>
          <w:szCs w:val="24"/>
        </w:rPr>
        <w:t>评标信息</w:t>
      </w:r>
      <w:r>
        <w:rPr>
          <w:rFonts w:hint="eastAsia" w:ascii="Times New Roman" w:hAnsi="Times New Roman" w:eastAsia="宋体" w:cs="Times New Roman"/>
          <w:b/>
          <w:bCs/>
          <w:color w:val="FF0000"/>
          <w:sz w:val="24"/>
          <w:szCs w:val="24"/>
        </w:rPr>
        <w:t>”</w:t>
      </w:r>
      <w:r>
        <w:rPr>
          <w:rFonts w:ascii="Times New Roman" w:hAnsi="Times New Roman" w:eastAsia="宋体" w:cs="Times New Roman"/>
          <w:b/>
          <w:bCs/>
          <w:color w:val="FF0000"/>
          <w:sz w:val="24"/>
          <w:szCs w:val="24"/>
        </w:rPr>
        <w:t>中</w:t>
      </w:r>
      <w:r>
        <w:rPr>
          <w:rFonts w:hint="eastAsia" w:ascii="Times New Roman" w:hAnsi="Times New Roman" w:eastAsia="宋体" w:cs="Times New Roman"/>
          <w:b/>
          <w:bCs/>
          <w:color w:val="FF0000"/>
          <w:sz w:val="24"/>
          <w:szCs w:val="24"/>
        </w:rPr>
        <w:t>关于“项目特色、亮点及相关的合理化建议 ”</w:t>
      </w:r>
      <w:r>
        <w:rPr>
          <w:rFonts w:ascii="Times New Roman" w:hAnsi="Times New Roman" w:eastAsia="宋体" w:cs="Times New Roman"/>
          <w:b/>
          <w:bCs/>
          <w:color w:val="FF0000"/>
          <w:sz w:val="24"/>
          <w:szCs w:val="24"/>
        </w:rPr>
        <w:t>的要求</w:t>
      </w:r>
      <w:r>
        <w:rPr>
          <w:rFonts w:hint="eastAsia" w:ascii="Times New Roman" w:hAnsi="Times New Roman" w:eastAsia="宋体" w:cs="Times New Roman"/>
          <w:b/>
          <w:bCs/>
          <w:color w:val="FF0000"/>
          <w:sz w:val="24"/>
          <w:szCs w:val="24"/>
        </w:rPr>
        <w:t>提供相关的文件。）</w:t>
      </w:r>
    </w:p>
    <w:p>
      <w:pPr>
        <w:outlineLvl w:val="3"/>
        <w:rPr>
          <w:b/>
          <w:bCs/>
          <w:sz w:val="24"/>
        </w:rPr>
      </w:pPr>
    </w:p>
    <w:p>
      <w:pPr>
        <w:pStyle w:val="3"/>
        <w:jc w:val="center"/>
        <w:rPr>
          <w:rFonts w:ascii="黑体" w:hAnsi="黑体" w:eastAsia="黑体" w:cs="黑体"/>
          <w:b w:val="0"/>
          <w:bCs w:val="0"/>
          <w:sz w:val="32"/>
        </w:rPr>
      </w:pPr>
      <w:r>
        <w:rPr>
          <w:rFonts w:hint="eastAsia" w:ascii="黑体" w:hAnsi="黑体" w:eastAsia="黑体" w:cs="黑体"/>
          <w:b w:val="0"/>
          <w:bCs w:val="0"/>
          <w:sz w:val="32"/>
        </w:rPr>
        <w:t xml:space="preserve">四、质量（完成时间、安全、环保）保障措施及方案  </w:t>
      </w:r>
    </w:p>
    <w:p>
      <w:pPr>
        <w:rPr>
          <w:b/>
          <w:bCs/>
          <w:color w:val="FF0000"/>
          <w:sz w:val="24"/>
        </w:rPr>
      </w:pPr>
      <w:r>
        <w:rPr>
          <w:rFonts w:hint="eastAsia" w:ascii="Times New Roman" w:hAnsi="Times New Roman" w:eastAsia="宋体" w:cs="Times New Roman"/>
          <w:b/>
          <w:bCs/>
          <w:color w:val="FF0000"/>
          <w:sz w:val="24"/>
          <w:szCs w:val="24"/>
        </w:rPr>
        <w:t>（特别提示：投标人须按本招标文件“关键信息”的“</w:t>
      </w:r>
      <w:r>
        <w:rPr>
          <w:rFonts w:ascii="Times New Roman" w:hAnsi="Times New Roman" w:eastAsia="宋体" w:cs="Times New Roman"/>
          <w:b/>
          <w:bCs/>
          <w:color w:val="FF0000"/>
          <w:sz w:val="24"/>
          <w:szCs w:val="24"/>
        </w:rPr>
        <w:t>评标信息</w:t>
      </w:r>
      <w:r>
        <w:rPr>
          <w:rFonts w:hint="eastAsia" w:ascii="Times New Roman" w:hAnsi="Times New Roman" w:eastAsia="宋体" w:cs="Times New Roman"/>
          <w:b/>
          <w:bCs/>
          <w:color w:val="FF0000"/>
          <w:sz w:val="24"/>
          <w:szCs w:val="24"/>
        </w:rPr>
        <w:t>”</w:t>
      </w:r>
      <w:r>
        <w:rPr>
          <w:rFonts w:ascii="Times New Roman" w:hAnsi="Times New Roman" w:eastAsia="宋体" w:cs="Times New Roman"/>
          <w:b/>
          <w:bCs/>
          <w:color w:val="FF0000"/>
          <w:sz w:val="24"/>
          <w:szCs w:val="24"/>
        </w:rPr>
        <w:t>中</w:t>
      </w:r>
      <w:r>
        <w:rPr>
          <w:rFonts w:hint="eastAsia" w:ascii="Times New Roman" w:hAnsi="Times New Roman" w:eastAsia="宋体" w:cs="Times New Roman"/>
          <w:b/>
          <w:bCs/>
          <w:color w:val="FF0000"/>
          <w:sz w:val="24"/>
          <w:szCs w:val="24"/>
        </w:rPr>
        <w:t>关于“质量（完成时间、安全、环保）保障措施及方案 ”</w:t>
      </w:r>
      <w:r>
        <w:rPr>
          <w:rFonts w:ascii="Times New Roman" w:hAnsi="Times New Roman" w:eastAsia="宋体" w:cs="Times New Roman"/>
          <w:b/>
          <w:bCs/>
          <w:color w:val="FF0000"/>
          <w:sz w:val="24"/>
          <w:szCs w:val="24"/>
        </w:rPr>
        <w:t>的要求</w:t>
      </w:r>
      <w:r>
        <w:rPr>
          <w:rFonts w:hint="eastAsia" w:ascii="Times New Roman" w:hAnsi="Times New Roman" w:eastAsia="宋体" w:cs="Times New Roman"/>
          <w:b/>
          <w:bCs/>
          <w:color w:val="FF0000"/>
          <w:sz w:val="24"/>
          <w:szCs w:val="24"/>
        </w:rPr>
        <w:t>提供相关的文件。）</w:t>
      </w:r>
    </w:p>
    <w:p>
      <w:pPr>
        <w:pStyle w:val="2"/>
      </w:pPr>
    </w:p>
    <w:p>
      <w:pPr>
        <w:keepNext/>
        <w:keepLines/>
        <w:numPr>
          <w:ilvl w:val="0"/>
          <w:numId w:val="18"/>
        </w:numPr>
        <w:spacing w:before="260" w:after="260"/>
        <w:outlineLvl w:val="2"/>
        <w:rPr>
          <w:rFonts w:ascii="等线" w:hAnsi="等线"/>
          <w:b/>
          <w:bCs/>
          <w:sz w:val="32"/>
          <w:szCs w:val="32"/>
        </w:rPr>
      </w:pPr>
      <w:r>
        <w:rPr>
          <w:rFonts w:hint="eastAsia" w:ascii="等线" w:hAnsi="等线" w:eastAsia="宋体" w:cs="Times New Roman"/>
          <w:b/>
          <w:bCs/>
          <w:sz w:val="32"/>
          <w:szCs w:val="32"/>
        </w:rPr>
        <w:t xml:space="preserve">违约承诺  </w:t>
      </w:r>
    </w:p>
    <w:p>
      <w:r>
        <w:rPr>
          <w:rFonts w:hint="eastAsia" w:ascii="Times New Roman" w:hAnsi="Times New Roman" w:eastAsia="宋体" w:cs="Times New Roman"/>
          <w:b/>
          <w:bCs/>
          <w:color w:val="FF0000"/>
          <w:sz w:val="24"/>
          <w:szCs w:val="24"/>
        </w:rPr>
        <w:t>（特别提示：投标人须按本招标文件“关键信息”的“</w:t>
      </w:r>
      <w:r>
        <w:rPr>
          <w:rFonts w:ascii="Times New Roman" w:hAnsi="Times New Roman" w:eastAsia="宋体" w:cs="Times New Roman"/>
          <w:b/>
          <w:bCs/>
          <w:color w:val="FF0000"/>
          <w:sz w:val="24"/>
          <w:szCs w:val="24"/>
        </w:rPr>
        <w:t>评标信息</w:t>
      </w:r>
      <w:r>
        <w:rPr>
          <w:rFonts w:hint="eastAsia" w:ascii="Times New Roman" w:hAnsi="Times New Roman" w:eastAsia="宋体" w:cs="Times New Roman"/>
          <w:b/>
          <w:bCs/>
          <w:color w:val="FF0000"/>
          <w:sz w:val="24"/>
          <w:szCs w:val="24"/>
        </w:rPr>
        <w:t>”</w:t>
      </w:r>
      <w:r>
        <w:rPr>
          <w:rFonts w:ascii="Times New Roman" w:hAnsi="Times New Roman" w:eastAsia="宋体" w:cs="Times New Roman"/>
          <w:b/>
          <w:bCs/>
          <w:color w:val="FF0000"/>
          <w:sz w:val="24"/>
          <w:szCs w:val="24"/>
        </w:rPr>
        <w:t>中</w:t>
      </w:r>
      <w:r>
        <w:rPr>
          <w:rFonts w:hint="eastAsia" w:ascii="Times New Roman" w:hAnsi="Times New Roman" w:eastAsia="宋体" w:cs="Times New Roman"/>
          <w:b/>
          <w:bCs/>
          <w:color w:val="FF0000"/>
          <w:sz w:val="24"/>
          <w:szCs w:val="24"/>
        </w:rPr>
        <w:t>关于“违约承诺   ”</w:t>
      </w:r>
      <w:r>
        <w:rPr>
          <w:rFonts w:ascii="Times New Roman" w:hAnsi="Times New Roman" w:eastAsia="宋体" w:cs="Times New Roman"/>
          <w:b/>
          <w:bCs/>
          <w:color w:val="FF0000"/>
          <w:sz w:val="24"/>
          <w:szCs w:val="24"/>
        </w:rPr>
        <w:t>的要求</w:t>
      </w:r>
      <w:r>
        <w:rPr>
          <w:rFonts w:hint="eastAsia" w:ascii="Times New Roman" w:hAnsi="Times New Roman" w:eastAsia="宋体" w:cs="Times New Roman"/>
          <w:b/>
          <w:bCs/>
          <w:color w:val="FF0000"/>
          <w:sz w:val="24"/>
          <w:szCs w:val="24"/>
        </w:rPr>
        <w:t>提供相关的文件。）</w:t>
      </w:r>
    </w:p>
    <w:p>
      <w:pPr>
        <w:rPr>
          <w:b/>
          <w:bCs/>
          <w:color w:val="FF0000"/>
          <w:sz w:val="24"/>
        </w:rPr>
      </w:pPr>
    </w:p>
    <w:p>
      <w:pPr>
        <w:keepNext/>
        <w:keepLines/>
        <w:spacing w:before="260" w:after="260"/>
        <w:outlineLvl w:val="2"/>
        <w:rPr>
          <w:rFonts w:ascii="等线" w:hAnsi="等线" w:eastAsia="宋体" w:cs="Times New Roman"/>
          <w:b/>
          <w:bCs/>
          <w:sz w:val="32"/>
          <w:szCs w:val="32"/>
        </w:rPr>
      </w:pPr>
      <w:r>
        <w:rPr>
          <w:rFonts w:hint="eastAsia" w:ascii="等线" w:hAnsi="等线" w:eastAsia="宋体" w:cs="Times New Roman"/>
          <w:b/>
          <w:bCs/>
          <w:sz w:val="32"/>
          <w:szCs w:val="32"/>
        </w:rPr>
        <w:t>六、其他招标文件要求的内容及投标人认为需要补充的内容</w:t>
      </w:r>
    </w:p>
    <w:p>
      <w:pPr>
        <w:pStyle w:val="5"/>
        <w:rPr>
          <w:kern w:val="2"/>
          <w:sz w:val="32"/>
          <w:szCs w:val="32"/>
        </w:rPr>
      </w:pPr>
      <w:r>
        <w:rPr>
          <w:rFonts w:hint="eastAsia" w:ascii="Times New Roman" w:hAnsi="Times New Roman"/>
          <w:color w:val="FF0000"/>
          <w:kern w:val="2"/>
          <w:szCs w:val="24"/>
        </w:rPr>
        <w:t>（格式自定）</w:t>
      </w:r>
    </w:p>
    <w:p>
      <w:pPr>
        <w:pStyle w:val="5"/>
        <w:rPr>
          <w:kern w:val="2"/>
          <w:sz w:val="32"/>
          <w:szCs w:val="32"/>
        </w:rPr>
      </w:pPr>
    </w:p>
    <w:p>
      <w:pPr>
        <w:pStyle w:val="5"/>
        <w:rPr>
          <w:kern w:val="2"/>
          <w:sz w:val="32"/>
          <w:szCs w:val="32"/>
        </w:rPr>
      </w:pPr>
    </w:p>
    <w:p>
      <w:pPr>
        <w:pStyle w:val="5"/>
        <w:rPr>
          <w:kern w:val="2"/>
          <w:sz w:val="32"/>
          <w:szCs w:val="32"/>
        </w:rPr>
      </w:pPr>
    </w:p>
    <w:p>
      <w:pPr>
        <w:pStyle w:val="5"/>
        <w:rPr>
          <w:kern w:val="2"/>
          <w:sz w:val="32"/>
          <w:szCs w:val="32"/>
        </w:rPr>
      </w:pPr>
    </w:p>
    <w:p>
      <w:pPr>
        <w:pStyle w:val="5"/>
        <w:rPr>
          <w:kern w:val="2"/>
          <w:sz w:val="32"/>
          <w:szCs w:val="32"/>
        </w:rPr>
      </w:pPr>
    </w:p>
    <w:p>
      <w:pPr>
        <w:pStyle w:val="4"/>
        <w:rPr>
          <w:sz w:val="32"/>
          <w:szCs w:val="32"/>
        </w:rPr>
      </w:pPr>
    </w:p>
    <w:p>
      <w:pPr>
        <w:rPr>
          <w:sz w:val="32"/>
          <w:szCs w:val="32"/>
        </w:rPr>
      </w:pPr>
    </w:p>
    <w:p>
      <w:pPr>
        <w:pStyle w:val="2"/>
        <w:rPr>
          <w:kern w:val="2"/>
          <w:sz w:val="32"/>
          <w:szCs w:val="32"/>
        </w:rPr>
      </w:pPr>
    </w:p>
    <w:p/>
    <w:p/>
    <w:p/>
    <w:p/>
    <w:p/>
    <w:p/>
    <w:p/>
    <w:p>
      <w:pPr>
        <w:keepNext/>
        <w:keepLines/>
        <w:numPr>
          <w:ilvl w:val="0"/>
          <w:numId w:val="19"/>
        </w:numPr>
        <w:spacing w:before="260" w:after="260"/>
        <w:jc w:val="center"/>
        <w:outlineLvl w:val="2"/>
        <w:rPr>
          <w:rFonts w:ascii="宋体" w:hAnsi="宋体"/>
          <w:b/>
          <w:bCs/>
          <w:sz w:val="32"/>
          <w:szCs w:val="32"/>
        </w:rPr>
      </w:pPr>
      <w:r>
        <w:rPr>
          <w:rFonts w:hint="eastAsia" w:ascii="宋体" w:hAnsi="宋体" w:eastAsia="宋体" w:cs="Times New Roman"/>
          <w:b/>
          <w:bCs/>
          <w:sz w:val="32"/>
          <w:szCs w:val="32"/>
        </w:rPr>
        <w:t xml:space="preserve"> 合同条款及格式（仅供参考）</w:t>
      </w:r>
    </w:p>
    <w:p>
      <w:pPr>
        <w:jc w:val="left"/>
        <w:rPr>
          <w:szCs w:val="21"/>
        </w:rPr>
      </w:pPr>
      <w:r>
        <w:rPr>
          <w:rFonts w:hint="eastAsia"/>
          <w:szCs w:val="21"/>
        </w:rPr>
        <w:t>采购人：</w:t>
      </w:r>
    </w:p>
    <w:p>
      <w:pPr>
        <w:jc w:val="left"/>
        <w:rPr>
          <w:szCs w:val="21"/>
        </w:rPr>
      </w:pPr>
      <w:r>
        <w:rPr>
          <w:rFonts w:hint="eastAsia"/>
          <w:szCs w:val="21"/>
        </w:rPr>
        <w:t>供应商：</w:t>
      </w:r>
    </w:p>
    <w:p>
      <w:pPr>
        <w:jc w:val="left"/>
        <w:rPr>
          <w:sz w:val="24"/>
        </w:rPr>
      </w:pPr>
    </w:p>
    <w:p>
      <w:pPr>
        <w:spacing w:line="360" w:lineRule="auto"/>
        <w:ind w:firstLine="560"/>
        <w:jc w:val="left"/>
        <w:rPr>
          <w:bCs/>
          <w:szCs w:val="21"/>
        </w:rPr>
      </w:pPr>
      <w:r>
        <w:rPr>
          <w:rFonts w:hint="eastAsia"/>
          <w:bCs/>
          <w:szCs w:val="21"/>
        </w:rPr>
        <w:t>根据深圳大学总医院招投标管理办公室    号采购项目的成交结果，由         单位为成交供应商。按照《中华人民共和国民法典》和《深圳经济特区政府采购条例》，经深圳大学总医院（以下简称甲方）和单位（以下简称乙方）协商，达成以下合同条款：</w:t>
      </w:r>
    </w:p>
    <w:p>
      <w:pPr>
        <w:spacing w:line="360" w:lineRule="auto"/>
        <w:ind w:firstLine="560"/>
        <w:jc w:val="left"/>
        <w:rPr>
          <w:b/>
          <w:szCs w:val="21"/>
        </w:rPr>
      </w:pPr>
      <w:r>
        <w:rPr>
          <w:rFonts w:hint="eastAsia"/>
          <w:b/>
          <w:szCs w:val="21"/>
        </w:rPr>
        <w:t>第一条合同标的</w:t>
      </w:r>
    </w:p>
    <w:p>
      <w:pPr>
        <w:spacing w:line="360" w:lineRule="auto"/>
        <w:ind w:firstLine="560"/>
        <w:jc w:val="left"/>
        <w:rPr>
          <w:szCs w:val="21"/>
        </w:rPr>
      </w:pPr>
      <w:r>
        <w:rPr>
          <w:rFonts w:hint="eastAsia"/>
          <w:szCs w:val="21"/>
        </w:rPr>
        <w:t>乙方根据甲方需求提供下列货物：</w:t>
      </w:r>
    </w:p>
    <w:p>
      <w:pPr>
        <w:spacing w:line="360" w:lineRule="auto"/>
        <w:ind w:firstLine="560"/>
        <w:jc w:val="left"/>
        <w:rPr>
          <w:szCs w:val="21"/>
        </w:rPr>
      </w:pPr>
      <w:r>
        <w:rPr>
          <w:rFonts w:hint="eastAsia"/>
          <w:szCs w:val="21"/>
        </w:rPr>
        <w:t>服务名称、规格及数量。</w:t>
      </w:r>
    </w:p>
    <w:p>
      <w:pPr>
        <w:spacing w:line="360" w:lineRule="auto"/>
        <w:ind w:firstLine="560"/>
        <w:jc w:val="left"/>
        <w:rPr>
          <w:b/>
          <w:szCs w:val="21"/>
        </w:rPr>
      </w:pPr>
      <w:r>
        <w:rPr>
          <w:rFonts w:hint="eastAsia"/>
          <w:b/>
          <w:szCs w:val="21"/>
        </w:rPr>
        <w:t>第二条合同价款</w:t>
      </w:r>
    </w:p>
    <w:p>
      <w:pPr>
        <w:spacing w:line="360" w:lineRule="auto"/>
        <w:ind w:firstLine="560"/>
        <w:jc w:val="left"/>
        <w:rPr>
          <w:szCs w:val="21"/>
        </w:rPr>
      </w:pPr>
      <w:r>
        <w:rPr>
          <w:rFonts w:hint="eastAsia"/>
          <w:szCs w:val="21"/>
        </w:rPr>
        <w:t>本合同项下总价款为（大写）人民币，分项价款详见。本合同总价款已包括乙方为履行本合同义务所发生的一切费用，系固定不变价格，且不随通货膨胀的影响而波动。</w:t>
      </w:r>
    </w:p>
    <w:p>
      <w:pPr>
        <w:spacing w:line="360" w:lineRule="auto"/>
        <w:ind w:firstLine="560"/>
        <w:jc w:val="left"/>
        <w:rPr>
          <w:b/>
          <w:szCs w:val="21"/>
        </w:rPr>
      </w:pPr>
      <w:r>
        <w:rPr>
          <w:rFonts w:hint="eastAsia"/>
          <w:b/>
          <w:szCs w:val="21"/>
        </w:rPr>
        <w:t>第三条权利保证</w:t>
      </w:r>
    </w:p>
    <w:p>
      <w:pPr>
        <w:spacing w:line="360" w:lineRule="auto"/>
        <w:ind w:firstLine="560"/>
        <w:jc w:val="left"/>
        <w:rPr>
          <w:rFonts w:ascii="宋体" w:hAnsi="宋体"/>
          <w:szCs w:val="21"/>
        </w:rPr>
      </w:pPr>
      <w:r>
        <w:rPr>
          <w:rFonts w:hint="eastAsia" w:ascii="宋体" w:hAnsi="宋体"/>
          <w:szCs w:val="21"/>
        </w:rPr>
        <w:t>乙方保证甲方在使用本合同项下货物或货物的任何一部分时，不会产生因第三方提出的包括但不限于侵犯其专利权、商标权、工业设计权等知识产权和侵犯其所有权、抵押权等物权及其他权利而引发的纠纷。如有纠纷，乙方应承担全部责任。</w:t>
      </w:r>
    </w:p>
    <w:p>
      <w:pPr>
        <w:spacing w:line="360" w:lineRule="auto"/>
        <w:ind w:firstLine="560"/>
        <w:jc w:val="left"/>
        <w:rPr>
          <w:b/>
          <w:szCs w:val="21"/>
        </w:rPr>
      </w:pPr>
      <w:r>
        <w:rPr>
          <w:rFonts w:hint="eastAsia"/>
          <w:b/>
          <w:szCs w:val="21"/>
        </w:rPr>
        <w:t>第四条质量保证</w:t>
      </w:r>
    </w:p>
    <w:p>
      <w:pPr>
        <w:spacing w:line="360" w:lineRule="auto"/>
        <w:ind w:firstLine="560"/>
        <w:jc w:val="left"/>
        <w:rPr>
          <w:rFonts w:ascii="宋体" w:hAnsi="宋体"/>
          <w:szCs w:val="21"/>
        </w:rPr>
      </w:pPr>
      <w:r>
        <w:rPr>
          <w:rFonts w:hint="eastAsia" w:ascii="宋体" w:hAnsi="宋体"/>
          <w:szCs w:val="21"/>
        </w:rPr>
        <w:t>1、乙方所提供的货物的技术规格符合招标文件规定的技术规格，货物符合中华人民共和国的设计和制造生产标准或行业标准。</w:t>
      </w:r>
    </w:p>
    <w:p>
      <w:pPr>
        <w:spacing w:line="360" w:lineRule="auto"/>
        <w:ind w:firstLine="560"/>
        <w:jc w:val="left"/>
        <w:rPr>
          <w:rFonts w:ascii="宋体" w:hAnsi="宋体"/>
          <w:szCs w:val="21"/>
        </w:rPr>
      </w:pPr>
      <w:r>
        <w:rPr>
          <w:rFonts w:hint="eastAsia" w:ascii="宋体" w:hAnsi="宋体"/>
          <w:szCs w:val="21"/>
        </w:rPr>
        <w:t>2、乙方应保证货物是全新、未使用过的原装合格正品（包括零部件），并完全符合甲方要求的质量、规格和性能的要求。如货物安装或配置了软件的，乙方保证相关软件均为正版软件。</w:t>
      </w:r>
    </w:p>
    <w:p>
      <w:pPr>
        <w:spacing w:line="360" w:lineRule="auto"/>
        <w:ind w:firstLine="560"/>
        <w:jc w:val="left"/>
        <w:rPr>
          <w:rFonts w:ascii="宋体" w:hAnsi="宋体"/>
          <w:szCs w:val="21"/>
        </w:rPr>
      </w:pPr>
      <w:r>
        <w:rPr>
          <w:rFonts w:hint="eastAsia" w:ascii="宋体" w:hAnsi="宋体"/>
          <w:szCs w:val="21"/>
        </w:rPr>
        <w:t>3、乙方保证交货时一并提供货物的质量合格凭证或文件。</w:t>
      </w:r>
    </w:p>
    <w:p>
      <w:pPr>
        <w:spacing w:line="360" w:lineRule="auto"/>
        <w:ind w:firstLine="560"/>
        <w:jc w:val="left"/>
        <w:rPr>
          <w:b/>
          <w:szCs w:val="21"/>
        </w:rPr>
      </w:pPr>
      <w:r>
        <w:rPr>
          <w:rFonts w:hint="eastAsia"/>
          <w:b/>
          <w:szCs w:val="21"/>
        </w:rPr>
        <w:t>第五条交货和验收</w:t>
      </w:r>
    </w:p>
    <w:p>
      <w:pPr>
        <w:spacing w:line="360" w:lineRule="auto"/>
        <w:ind w:firstLine="560"/>
        <w:jc w:val="left"/>
        <w:rPr>
          <w:rFonts w:ascii="宋体" w:hAnsi="宋体"/>
          <w:szCs w:val="21"/>
        </w:rPr>
      </w:pPr>
      <w:r>
        <w:rPr>
          <w:rFonts w:hint="eastAsia" w:ascii="宋体" w:hAnsi="宋体"/>
          <w:szCs w:val="21"/>
        </w:rPr>
        <w:t>1、乙方应按照本合同或招投标文件规定的时间和方式向甲方交付货物，交货地点由甲方指定。因交货产生的费用由乙方自行承担。</w:t>
      </w:r>
    </w:p>
    <w:p>
      <w:pPr>
        <w:spacing w:line="360" w:lineRule="auto"/>
        <w:ind w:firstLine="560"/>
        <w:jc w:val="left"/>
        <w:rPr>
          <w:rFonts w:ascii="宋体" w:hAnsi="宋体"/>
          <w:szCs w:val="21"/>
        </w:rPr>
      </w:pPr>
      <w:r>
        <w:rPr>
          <w:rFonts w:hint="eastAsia" w:ascii="宋体" w:hAnsi="宋体"/>
          <w:szCs w:val="21"/>
        </w:rPr>
        <w:t>2、乙方交付的货物应当完全符合招投标文件所规定的货物、数量、质量和规格要求。乙方提供的货物不符合招投标文件和合同规定的，甲方有权拒收货物，由此引起的风险，由乙方承担。</w:t>
      </w:r>
    </w:p>
    <w:p>
      <w:pPr>
        <w:spacing w:line="360" w:lineRule="auto"/>
        <w:ind w:firstLine="560"/>
        <w:jc w:val="left"/>
        <w:rPr>
          <w:rFonts w:ascii="宋体" w:hAnsi="宋体"/>
          <w:szCs w:val="21"/>
        </w:rPr>
      </w:pPr>
      <w:r>
        <w:rPr>
          <w:rFonts w:hint="eastAsia" w:ascii="宋体" w:hAnsi="宋体"/>
          <w:szCs w:val="21"/>
        </w:rPr>
        <w:t>3、乙方应将所提供货物的使用说明书、原厂保修卡等附随资料和附随配件、工具等交付给甲方；乙方不能完整交付货物及本款规定的单证和工具的，视为未按合同约定交货，乙方负责补齐，因此导致逾期交付的，由乙方承担相关的违约责任。</w:t>
      </w:r>
    </w:p>
    <w:p>
      <w:pPr>
        <w:spacing w:line="360" w:lineRule="auto"/>
        <w:ind w:firstLine="560"/>
        <w:jc w:val="left"/>
        <w:rPr>
          <w:rFonts w:ascii="宋体" w:hAnsi="宋体"/>
          <w:szCs w:val="21"/>
        </w:rPr>
      </w:pPr>
      <w:r>
        <w:rPr>
          <w:rFonts w:hint="eastAsia" w:ascii="宋体" w:hAnsi="宋体"/>
          <w:szCs w:val="21"/>
        </w:rPr>
        <w:t>4、甲方应当在到货后的个工作日内对货物进行验收；需要乙方对货物或系统进行安装调试的，甲方应在货物安装调试完毕后的个工作日内进行质量验收。</w:t>
      </w:r>
    </w:p>
    <w:p>
      <w:pPr>
        <w:spacing w:line="360" w:lineRule="auto"/>
        <w:ind w:firstLine="560"/>
        <w:jc w:val="left"/>
        <w:rPr>
          <w:b/>
          <w:szCs w:val="21"/>
        </w:rPr>
      </w:pPr>
      <w:r>
        <w:rPr>
          <w:rFonts w:hint="eastAsia"/>
          <w:b/>
          <w:szCs w:val="21"/>
        </w:rPr>
        <w:t>第六条保修及其他服务</w:t>
      </w:r>
    </w:p>
    <w:p>
      <w:pPr>
        <w:spacing w:line="360" w:lineRule="auto"/>
        <w:ind w:firstLine="560"/>
        <w:jc w:val="left"/>
        <w:rPr>
          <w:rFonts w:ascii="宋体" w:hAnsi="宋体"/>
          <w:szCs w:val="21"/>
        </w:rPr>
      </w:pPr>
      <w:r>
        <w:rPr>
          <w:rFonts w:hint="eastAsia" w:ascii="宋体" w:hAnsi="宋体"/>
          <w:szCs w:val="21"/>
        </w:rPr>
        <w:t>1、乙方应按照国家有关法律法规规章和“三包”规定和招标文件的要求及乙方在投标文件的相关承诺提供保修及其他服务。</w:t>
      </w:r>
    </w:p>
    <w:p>
      <w:pPr>
        <w:spacing w:line="360" w:lineRule="auto"/>
        <w:ind w:firstLine="560"/>
        <w:jc w:val="left"/>
        <w:rPr>
          <w:rFonts w:ascii="宋体" w:hAnsi="宋体"/>
          <w:szCs w:val="21"/>
        </w:rPr>
      </w:pPr>
      <w:r>
        <w:rPr>
          <w:rFonts w:hint="eastAsia" w:ascii="宋体" w:hAnsi="宋体"/>
          <w:szCs w:val="21"/>
        </w:rPr>
        <w:t>2、</w:t>
      </w:r>
      <w:r>
        <w:rPr>
          <w:rFonts w:ascii="宋体" w:hAnsi="宋体"/>
          <w:szCs w:val="21"/>
        </w:rPr>
        <w:t>保修期内，乙方负责对其提供的货物进行维修和系统维护，不再收取任何费用。</w:t>
      </w:r>
      <w:r>
        <w:rPr>
          <w:rFonts w:hint="eastAsia" w:ascii="宋体" w:hAnsi="宋体"/>
          <w:szCs w:val="21"/>
        </w:rPr>
        <w:t>所有货物保修服务方式均为乙方上门保修，即由乙方派员到货物使用现场维修，由此产生的一切费用均由乙方承担。保修期后的货物维护另行协商。</w:t>
      </w:r>
    </w:p>
    <w:p>
      <w:pPr>
        <w:spacing w:line="360" w:lineRule="auto"/>
        <w:ind w:firstLine="560"/>
        <w:jc w:val="left"/>
        <w:rPr>
          <w:b/>
          <w:szCs w:val="21"/>
        </w:rPr>
      </w:pPr>
      <w:r>
        <w:rPr>
          <w:rFonts w:hint="eastAsia"/>
          <w:b/>
          <w:szCs w:val="21"/>
        </w:rPr>
        <w:t>第七条履约保证金</w:t>
      </w:r>
    </w:p>
    <w:p>
      <w:pPr>
        <w:spacing w:line="360" w:lineRule="auto"/>
        <w:ind w:firstLine="560"/>
        <w:jc w:val="left"/>
        <w:rPr>
          <w:rFonts w:ascii="宋体" w:hAnsi="宋体"/>
          <w:szCs w:val="21"/>
        </w:rPr>
      </w:pPr>
      <w:r>
        <w:rPr>
          <w:rFonts w:hint="eastAsia" w:ascii="宋体" w:hAnsi="宋体"/>
          <w:szCs w:val="21"/>
        </w:rPr>
        <w:t>1、乙方应在签订本合同之日，向甲方或甲方指定的机构提交履约保证金_________元。</w:t>
      </w:r>
    </w:p>
    <w:p>
      <w:pPr>
        <w:spacing w:line="360" w:lineRule="auto"/>
        <w:ind w:firstLine="560"/>
        <w:jc w:val="left"/>
        <w:rPr>
          <w:rFonts w:ascii="宋体" w:hAnsi="宋体"/>
          <w:szCs w:val="21"/>
        </w:rPr>
      </w:pPr>
      <w:r>
        <w:rPr>
          <w:rFonts w:hint="eastAsia" w:ascii="宋体" w:hAnsi="宋体"/>
          <w:szCs w:val="21"/>
        </w:rPr>
        <w:t>2、如乙方未能履行合同规定的义务，甲方有权从履约保证金中取得补偿。</w:t>
      </w:r>
    </w:p>
    <w:p>
      <w:pPr>
        <w:spacing w:line="360" w:lineRule="auto"/>
        <w:ind w:firstLine="560"/>
        <w:jc w:val="left"/>
        <w:rPr>
          <w:rFonts w:ascii="宋体" w:hAnsi="宋体"/>
          <w:szCs w:val="21"/>
        </w:rPr>
      </w:pPr>
      <w:r>
        <w:rPr>
          <w:rFonts w:hint="eastAsia" w:ascii="宋体" w:hAnsi="宋体"/>
          <w:szCs w:val="21"/>
        </w:rPr>
        <w:t>3、甲方在乙方履行完毕本合同项下全部义务后______天内无息退还乙方。</w:t>
      </w:r>
    </w:p>
    <w:p>
      <w:pPr>
        <w:spacing w:line="360" w:lineRule="auto"/>
        <w:ind w:firstLine="560"/>
        <w:jc w:val="left"/>
        <w:rPr>
          <w:rFonts w:ascii="宋体" w:hAnsi="宋体"/>
          <w:szCs w:val="21"/>
        </w:rPr>
      </w:pPr>
    </w:p>
    <w:p>
      <w:pPr>
        <w:spacing w:line="360" w:lineRule="auto"/>
        <w:ind w:firstLine="560"/>
        <w:jc w:val="left"/>
        <w:rPr>
          <w:b/>
          <w:szCs w:val="21"/>
        </w:rPr>
      </w:pPr>
      <w:r>
        <w:rPr>
          <w:rFonts w:hint="eastAsia"/>
          <w:b/>
          <w:szCs w:val="21"/>
        </w:rPr>
        <w:t>第八条货款支付</w:t>
      </w:r>
    </w:p>
    <w:p>
      <w:pPr>
        <w:spacing w:line="360" w:lineRule="auto"/>
        <w:ind w:firstLine="560"/>
        <w:jc w:val="left"/>
        <w:rPr>
          <w:szCs w:val="21"/>
        </w:rPr>
      </w:pPr>
    </w:p>
    <w:p>
      <w:pPr>
        <w:spacing w:line="360" w:lineRule="auto"/>
        <w:ind w:firstLine="560"/>
        <w:jc w:val="left"/>
        <w:rPr>
          <w:b/>
          <w:szCs w:val="21"/>
        </w:rPr>
      </w:pPr>
      <w:r>
        <w:rPr>
          <w:rFonts w:hint="eastAsia"/>
          <w:b/>
          <w:szCs w:val="21"/>
        </w:rPr>
        <w:t>第九条违约责任</w:t>
      </w:r>
    </w:p>
    <w:p>
      <w:pPr>
        <w:spacing w:line="360" w:lineRule="auto"/>
        <w:ind w:firstLine="560"/>
        <w:jc w:val="left"/>
        <w:rPr>
          <w:rFonts w:ascii="宋体" w:hAnsi="宋体"/>
          <w:szCs w:val="21"/>
        </w:rPr>
      </w:pPr>
      <w:r>
        <w:rPr>
          <w:rFonts w:hint="eastAsia" w:ascii="宋体" w:hAnsi="宋体"/>
          <w:szCs w:val="21"/>
        </w:rPr>
        <w:t>１、甲方无正当理由拒收货物、拒付货物款的，由甲方向乙方偿付合同总价的【】%违约金。</w:t>
      </w:r>
    </w:p>
    <w:p>
      <w:pPr>
        <w:spacing w:line="360" w:lineRule="auto"/>
        <w:ind w:firstLine="560"/>
        <w:jc w:val="left"/>
        <w:rPr>
          <w:rFonts w:ascii="宋体" w:hAnsi="宋体"/>
          <w:szCs w:val="21"/>
        </w:rPr>
      </w:pPr>
      <w:r>
        <w:rPr>
          <w:rFonts w:hint="eastAsia" w:ascii="宋体" w:hAnsi="宋体"/>
          <w:szCs w:val="21"/>
        </w:rPr>
        <w:t>２、甲方未按合同规定的期限向乙方支付货款的，每逾期1天甲方向乙方偿付欠款总额的【】‰滞纳金，但累计滞纳金总额不超过欠款总额的【】% 。</w:t>
      </w:r>
    </w:p>
    <w:p>
      <w:pPr>
        <w:spacing w:line="360" w:lineRule="auto"/>
        <w:ind w:firstLine="560"/>
        <w:jc w:val="left"/>
        <w:rPr>
          <w:rFonts w:ascii="宋体" w:hAnsi="宋体"/>
          <w:szCs w:val="21"/>
        </w:rPr>
      </w:pPr>
      <w:r>
        <w:rPr>
          <w:rFonts w:hint="eastAsia" w:ascii="宋体" w:hAnsi="宋体"/>
          <w:szCs w:val="21"/>
        </w:rPr>
        <w:t>３、</w:t>
      </w:r>
      <w:r>
        <w:rPr>
          <w:rFonts w:ascii="宋体" w:hAnsi="宋体"/>
          <w:szCs w:val="21"/>
        </w:rPr>
        <w:t>乙方逾期交付货物的，每逾期1天，乙方向甲方偿付逾期交货部分货款总额的</w:t>
      </w:r>
      <w:r>
        <w:rPr>
          <w:rFonts w:hint="eastAsia" w:ascii="宋体" w:hAnsi="宋体"/>
          <w:szCs w:val="21"/>
        </w:rPr>
        <w:t>【】</w:t>
      </w:r>
      <w:r>
        <w:rPr>
          <w:rFonts w:ascii="宋体" w:hAnsi="宋体"/>
          <w:szCs w:val="21"/>
        </w:rPr>
        <w:t>‰的滞纳金</w:t>
      </w:r>
      <w:r>
        <w:rPr>
          <w:rFonts w:hint="eastAsia" w:ascii="宋体" w:hAnsi="宋体"/>
          <w:szCs w:val="21"/>
        </w:rPr>
        <w:t>。如乙方逾期交货达天，甲方有权解除合同，履约保证金不予退回，同时乙方应向甲方支付合同总价【】％的违约金。</w:t>
      </w:r>
    </w:p>
    <w:p>
      <w:pPr>
        <w:spacing w:line="360" w:lineRule="auto"/>
        <w:ind w:firstLine="560"/>
        <w:jc w:val="left"/>
        <w:rPr>
          <w:rFonts w:ascii="宋体" w:hAnsi="宋体"/>
          <w:szCs w:val="21"/>
        </w:rPr>
      </w:pPr>
      <w:r>
        <w:rPr>
          <w:rFonts w:hint="eastAsia" w:ascii="宋体" w:hAnsi="宋体"/>
          <w:szCs w:val="21"/>
        </w:rPr>
        <w:t>4、乙方所交付的货物品种、型号、规格不符合合同规定的，甲方有权拒收。甲方拒收的，乙方应向甲方支付货款总额【】%的违约金。</w:t>
      </w:r>
    </w:p>
    <w:p>
      <w:pPr>
        <w:spacing w:line="360" w:lineRule="auto"/>
        <w:ind w:firstLine="560"/>
        <w:jc w:val="left"/>
        <w:rPr>
          <w:rFonts w:ascii="宋体" w:hAnsi="宋体"/>
          <w:szCs w:val="21"/>
        </w:rPr>
      </w:pPr>
      <w:r>
        <w:rPr>
          <w:rFonts w:hint="eastAsia" w:ascii="宋体" w:hAnsi="宋体"/>
          <w:szCs w:val="21"/>
        </w:rPr>
        <w:t>5、在乙方承诺的或国家规定的质量保证期内（取两者中最长的期限），</w:t>
      </w:r>
      <w:r>
        <w:rPr>
          <w:rFonts w:ascii="宋体" w:hAnsi="宋体"/>
          <w:szCs w:val="21"/>
        </w:rPr>
        <w:t>如经乙方两次维修</w:t>
      </w:r>
      <w:r>
        <w:rPr>
          <w:rFonts w:hint="eastAsia" w:ascii="宋体" w:hAnsi="宋体"/>
          <w:szCs w:val="21"/>
        </w:rPr>
        <w:t>或更换</w:t>
      </w:r>
      <w:r>
        <w:rPr>
          <w:rFonts w:ascii="宋体" w:hAnsi="宋体"/>
          <w:szCs w:val="21"/>
        </w:rPr>
        <w:t>，货物仍不能达到合同约定</w:t>
      </w:r>
      <w:r>
        <w:rPr>
          <w:rFonts w:hint="eastAsia" w:ascii="宋体" w:hAnsi="宋体"/>
          <w:szCs w:val="21"/>
        </w:rPr>
        <w:t>的</w:t>
      </w:r>
      <w:r>
        <w:rPr>
          <w:rFonts w:ascii="宋体" w:hAnsi="宋体"/>
          <w:szCs w:val="21"/>
        </w:rPr>
        <w:t>质量标准，甲方有权退货，乙方</w:t>
      </w:r>
      <w:r>
        <w:rPr>
          <w:rFonts w:hint="eastAsia" w:ascii="宋体" w:hAnsi="宋体"/>
          <w:szCs w:val="21"/>
        </w:rPr>
        <w:t>应</w:t>
      </w:r>
      <w:r>
        <w:rPr>
          <w:rFonts w:ascii="宋体" w:hAnsi="宋体"/>
          <w:szCs w:val="21"/>
        </w:rPr>
        <w:t>退回全部货款</w:t>
      </w:r>
      <w:r>
        <w:rPr>
          <w:rFonts w:hint="eastAsia" w:ascii="宋体" w:hAnsi="宋体"/>
          <w:szCs w:val="21"/>
        </w:rPr>
        <w:t>并</w:t>
      </w:r>
      <w:r>
        <w:rPr>
          <w:rFonts w:ascii="宋体" w:hAnsi="宋体"/>
          <w:szCs w:val="21"/>
        </w:rPr>
        <w:t>赔偿甲方因此遭受的损失。</w:t>
      </w:r>
    </w:p>
    <w:p>
      <w:pPr>
        <w:spacing w:line="360" w:lineRule="auto"/>
        <w:ind w:firstLine="560"/>
        <w:jc w:val="left"/>
        <w:rPr>
          <w:rFonts w:ascii="宋体" w:hAnsi="宋体"/>
          <w:szCs w:val="21"/>
        </w:rPr>
      </w:pPr>
      <w:r>
        <w:rPr>
          <w:rFonts w:hint="eastAsia" w:ascii="宋体" w:hAnsi="宋体"/>
          <w:szCs w:val="21"/>
        </w:rPr>
        <w:t>6、乙方未履行本合同项下的其他义务或违反其在投标文件中的相关承诺的，应按合同总价款的【】%向甲方承担违约责任。</w:t>
      </w:r>
    </w:p>
    <w:p>
      <w:pPr>
        <w:spacing w:line="360" w:lineRule="auto"/>
        <w:ind w:firstLine="560"/>
        <w:jc w:val="left"/>
        <w:rPr>
          <w:rFonts w:ascii="宋体" w:hAnsi="宋体"/>
          <w:szCs w:val="21"/>
        </w:rPr>
      </w:pPr>
      <w:r>
        <w:rPr>
          <w:rFonts w:hint="eastAsia" w:ascii="宋体" w:hAnsi="宋体"/>
          <w:szCs w:val="21"/>
        </w:rPr>
        <w:t>7、乙方在承担上述一项或多项违约责任后，仍应继续履行合同规定的义务（甲方解除合同的除外）。甲方未能及时追究乙方的任何一项违约责任并不表明甲方放弃追究乙方该项或其他违约责任。</w:t>
      </w:r>
    </w:p>
    <w:p>
      <w:pPr>
        <w:spacing w:line="360" w:lineRule="auto"/>
        <w:ind w:firstLine="560"/>
        <w:jc w:val="left"/>
        <w:rPr>
          <w:b/>
          <w:szCs w:val="21"/>
        </w:rPr>
      </w:pPr>
      <w:r>
        <w:rPr>
          <w:rFonts w:hint="eastAsia"/>
          <w:b/>
          <w:szCs w:val="21"/>
        </w:rPr>
        <w:t>第十条合同的变更和终止</w:t>
      </w:r>
    </w:p>
    <w:p>
      <w:pPr>
        <w:spacing w:line="360" w:lineRule="auto"/>
        <w:ind w:firstLine="560"/>
        <w:jc w:val="left"/>
        <w:rPr>
          <w:rFonts w:ascii="宋体" w:hAnsi="宋体"/>
          <w:szCs w:val="21"/>
        </w:rPr>
      </w:pPr>
      <w:r>
        <w:rPr>
          <w:rFonts w:hint="eastAsia" w:ascii="宋体" w:hAnsi="宋体"/>
          <w:szCs w:val="21"/>
        </w:rPr>
        <w:t>除《中华人民共和国政府采购法》第49条、第50条第二款规定的情形外，本合同一经签订，甲乙双方不得擅自变更、中止或终止合同。</w:t>
      </w:r>
    </w:p>
    <w:p>
      <w:pPr>
        <w:spacing w:line="360" w:lineRule="auto"/>
        <w:ind w:firstLine="560"/>
        <w:jc w:val="left"/>
        <w:rPr>
          <w:b/>
          <w:szCs w:val="21"/>
        </w:rPr>
      </w:pPr>
      <w:r>
        <w:rPr>
          <w:rFonts w:hint="eastAsia"/>
          <w:b/>
          <w:szCs w:val="21"/>
        </w:rPr>
        <w:t>第十一条争议的解决</w:t>
      </w:r>
    </w:p>
    <w:p>
      <w:pPr>
        <w:spacing w:line="360" w:lineRule="auto"/>
        <w:ind w:firstLine="560"/>
        <w:jc w:val="left"/>
        <w:rPr>
          <w:rFonts w:ascii="宋体" w:hAnsi="宋体"/>
          <w:szCs w:val="21"/>
        </w:rPr>
      </w:pPr>
      <w:r>
        <w:rPr>
          <w:rFonts w:hint="eastAsia" w:ascii="宋体" w:hAnsi="宋体"/>
          <w:szCs w:val="21"/>
        </w:rPr>
        <w:t>1、因货物的质量问题发生争议的，应当邀请国家认可的质量检测机构对货物质量进行鉴定。货物符合标准的，鉴定费由甲方承担；货物不符合质量标准的，鉴定费由乙方承担。</w:t>
      </w:r>
    </w:p>
    <w:p>
      <w:pPr>
        <w:spacing w:line="360" w:lineRule="auto"/>
        <w:ind w:firstLine="560"/>
        <w:jc w:val="left"/>
        <w:rPr>
          <w:rFonts w:ascii="宋体" w:hAnsi="宋体"/>
          <w:szCs w:val="21"/>
        </w:rPr>
      </w:pPr>
      <w:r>
        <w:rPr>
          <w:rFonts w:hint="eastAsia" w:ascii="宋体" w:hAnsi="宋体"/>
          <w:szCs w:val="21"/>
        </w:rPr>
        <w:t>2、因履行本合同引起的或与本合同有关的争议，甲、乙双方应首先通过友好协商解决，如果协商不能解决争议，则向甲方所在地有管辖权的人民法院提起诉讼；</w:t>
      </w:r>
    </w:p>
    <w:p>
      <w:pPr>
        <w:spacing w:line="360" w:lineRule="auto"/>
        <w:ind w:firstLine="560"/>
        <w:jc w:val="left"/>
        <w:rPr>
          <w:b/>
          <w:szCs w:val="21"/>
        </w:rPr>
      </w:pPr>
      <w:r>
        <w:rPr>
          <w:rFonts w:hint="eastAsia"/>
          <w:b/>
          <w:szCs w:val="21"/>
        </w:rPr>
        <w:t>第十二条合同生效及其他</w:t>
      </w:r>
    </w:p>
    <w:p>
      <w:pPr>
        <w:spacing w:line="360" w:lineRule="auto"/>
        <w:ind w:firstLine="560"/>
        <w:jc w:val="left"/>
        <w:rPr>
          <w:rFonts w:ascii="宋体" w:hAnsi="宋体"/>
          <w:szCs w:val="21"/>
        </w:rPr>
      </w:pPr>
      <w:r>
        <w:rPr>
          <w:rFonts w:hint="eastAsia" w:ascii="宋体" w:hAnsi="宋体"/>
          <w:szCs w:val="21"/>
        </w:rPr>
        <w:t>1、下列文件均为本合同的组成部分：</w:t>
      </w:r>
    </w:p>
    <w:p>
      <w:pPr>
        <w:spacing w:line="360" w:lineRule="auto"/>
        <w:ind w:firstLine="560"/>
        <w:jc w:val="left"/>
        <w:rPr>
          <w:rFonts w:ascii="宋体" w:hAnsi="宋体"/>
          <w:szCs w:val="21"/>
        </w:rPr>
      </w:pPr>
      <w:r>
        <w:rPr>
          <w:rFonts w:hint="eastAsia" w:ascii="宋体" w:hAnsi="宋体"/>
          <w:szCs w:val="21"/>
        </w:rPr>
        <w:t>（1）           号招标文件、答疑及补充通知；</w:t>
      </w:r>
    </w:p>
    <w:p>
      <w:pPr>
        <w:spacing w:line="360" w:lineRule="auto"/>
        <w:ind w:firstLine="560"/>
        <w:jc w:val="left"/>
        <w:rPr>
          <w:rFonts w:ascii="宋体" w:hAnsi="宋体"/>
          <w:szCs w:val="21"/>
        </w:rPr>
      </w:pPr>
      <w:r>
        <w:rPr>
          <w:rFonts w:hint="eastAsia" w:ascii="宋体" w:hAnsi="宋体"/>
          <w:szCs w:val="21"/>
        </w:rPr>
        <w:t>（2）乙方的投标文件；</w:t>
      </w:r>
    </w:p>
    <w:p>
      <w:pPr>
        <w:spacing w:line="360" w:lineRule="auto"/>
        <w:ind w:firstLine="560"/>
        <w:jc w:val="left"/>
        <w:rPr>
          <w:rFonts w:ascii="宋体" w:hAnsi="宋体"/>
          <w:szCs w:val="21"/>
        </w:rPr>
      </w:pPr>
      <w:r>
        <w:rPr>
          <w:rFonts w:hint="eastAsia" w:ascii="宋体" w:hAnsi="宋体"/>
          <w:szCs w:val="21"/>
        </w:rPr>
        <w:t>（3）本合同执行中甲乙双方共同签署的补充与修正文件。</w:t>
      </w:r>
    </w:p>
    <w:p>
      <w:pPr>
        <w:spacing w:line="360" w:lineRule="auto"/>
        <w:ind w:firstLine="560"/>
        <w:jc w:val="left"/>
        <w:rPr>
          <w:rFonts w:ascii="宋体" w:hAnsi="宋体"/>
          <w:szCs w:val="21"/>
        </w:rPr>
      </w:pPr>
      <w:r>
        <w:rPr>
          <w:rFonts w:hint="eastAsia" w:ascii="宋体" w:hAnsi="宋体"/>
          <w:szCs w:val="21"/>
        </w:rPr>
        <w:t>2、本合同一式份，甲、乙方双方各执份，具有同等法律效力。本合同自双方法定代表人（或授权代表）签字并盖章之日起生效。</w:t>
      </w:r>
    </w:p>
    <w:p>
      <w:pPr>
        <w:spacing w:line="360" w:lineRule="auto"/>
        <w:ind w:firstLine="560"/>
        <w:jc w:val="left"/>
        <w:rPr>
          <w:rFonts w:ascii="宋体" w:hAnsi="宋体"/>
          <w:szCs w:val="21"/>
        </w:rPr>
      </w:pPr>
    </w:p>
    <w:p>
      <w:pPr>
        <w:spacing w:line="360" w:lineRule="auto"/>
        <w:ind w:firstLine="560"/>
        <w:jc w:val="left"/>
        <w:rPr>
          <w:rFonts w:ascii="宋体" w:hAnsi="宋体"/>
          <w:szCs w:val="21"/>
        </w:rPr>
      </w:pPr>
    </w:p>
    <w:p>
      <w:pPr>
        <w:spacing w:line="360" w:lineRule="auto"/>
        <w:ind w:firstLine="560"/>
        <w:jc w:val="left"/>
        <w:rPr>
          <w:rFonts w:ascii="宋体" w:hAnsi="宋体"/>
          <w:szCs w:val="21"/>
        </w:rPr>
      </w:pPr>
      <w:r>
        <w:rPr>
          <w:rFonts w:hint="eastAsia" w:ascii="宋体" w:hAnsi="宋体"/>
          <w:szCs w:val="21"/>
        </w:rPr>
        <w:t>甲方（采购人）：   （盖章）       乙方（供应商）：    （盖章）</w:t>
      </w:r>
    </w:p>
    <w:p>
      <w:pPr>
        <w:spacing w:line="360" w:lineRule="auto"/>
        <w:ind w:firstLine="560"/>
        <w:jc w:val="left"/>
        <w:rPr>
          <w:rFonts w:ascii="宋体" w:hAnsi="宋体"/>
          <w:szCs w:val="21"/>
        </w:rPr>
      </w:pPr>
      <w:r>
        <w:rPr>
          <w:rFonts w:hint="eastAsia" w:ascii="宋体" w:hAnsi="宋体"/>
          <w:szCs w:val="21"/>
        </w:rPr>
        <w:t xml:space="preserve">法定代表人：                     法定代表人： </w:t>
      </w:r>
    </w:p>
    <w:p>
      <w:pPr>
        <w:spacing w:line="360" w:lineRule="auto"/>
        <w:ind w:firstLine="560"/>
        <w:jc w:val="left"/>
        <w:rPr>
          <w:rFonts w:ascii="宋体" w:hAnsi="宋体"/>
          <w:szCs w:val="21"/>
        </w:rPr>
      </w:pPr>
      <w:r>
        <w:rPr>
          <w:rFonts w:hint="eastAsia" w:ascii="宋体" w:hAnsi="宋体"/>
          <w:szCs w:val="21"/>
        </w:rPr>
        <w:t>委托代理人：                     委托代理人：</w:t>
      </w:r>
    </w:p>
    <w:p>
      <w:pPr>
        <w:ind w:firstLine="525" w:firstLineChars="250"/>
        <w:rPr>
          <w:rFonts w:ascii="宋体" w:hAnsi="宋体"/>
          <w:b/>
          <w:szCs w:val="21"/>
        </w:rPr>
      </w:pPr>
      <w:r>
        <w:rPr>
          <w:rFonts w:hint="eastAsia" w:ascii="宋体" w:hAnsi="宋体"/>
          <w:szCs w:val="21"/>
        </w:rPr>
        <w:t>日期：   年     月    日         日期：   年     月    日</w:t>
      </w:r>
    </w:p>
    <w:p>
      <w:pPr>
        <w:widowControl/>
        <w:jc w:val="left"/>
      </w:pPr>
      <w:r>
        <w:br w:type="page"/>
      </w:r>
    </w:p>
    <w:p>
      <w:pPr>
        <w:keepNext/>
        <w:keepLines/>
        <w:spacing w:before="260" w:after="260"/>
        <w:jc w:val="center"/>
        <w:outlineLvl w:val="2"/>
        <w:rPr>
          <w:rFonts w:ascii="宋体" w:hAnsi="宋体" w:cs="宋体"/>
          <w:b/>
          <w:kern w:val="0"/>
          <w:sz w:val="32"/>
          <w:szCs w:val="32"/>
        </w:rPr>
      </w:pPr>
      <w:r>
        <w:rPr>
          <w:rFonts w:hint="eastAsia" w:ascii="宋体" w:hAnsi="宋体" w:eastAsia="宋体" w:cs="宋体"/>
          <w:b/>
          <w:kern w:val="0"/>
          <w:sz w:val="32"/>
          <w:szCs w:val="32"/>
        </w:rPr>
        <w:t>第五章  采购履约情况反馈表</w:t>
      </w:r>
    </w:p>
    <w:p>
      <w:pPr>
        <w:spacing w:line="240" w:lineRule="atLeast"/>
        <w:rPr>
          <w:rFonts w:ascii="宋体" w:hAnsi="宋体"/>
          <w:b/>
          <w:szCs w:val="21"/>
        </w:rPr>
      </w:pPr>
      <w:r>
        <w:rPr>
          <w:rFonts w:hint="eastAsia" w:ascii="宋体" w:hAnsi="宋体" w:eastAsia="宋体" w:cs="Times New Roman"/>
          <w:b/>
          <w:szCs w:val="21"/>
        </w:rPr>
        <w:t>采购单位名称：                       联系人及电话：</w:t>
      </w:r>
    </w:p>
    <w:p>
      <w:pPr>
        <w:spacing w:line="60" w:lineRule="exact"/>
        <w:rPr>
          <w:rFonts w:ascii="宋体" w:hAnsi="宋体"/>
          <w:b/>
          <w:szCs w:val="21"/>
        </w:rPr>
      </w:pPr>
    </w:p>
    <w:tbl>
      <w:tblPr>
        <w:tblStyle w:val="54"/>
        <w:tblW w:w="8917" w:type="dxa"/>
        <w:jc w:val="center"/>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842"/>
        <w:gridCol w:w="720"/>
        <w:gridCol w:w="1149"/>
        <w:gridCol w:w="2091"/>
        <w:gridCol w:w="2124"/>
        <w:gridCol w:w="1991"/>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507" w:hRule="atLeast"/>
          <w:jc w:val="center"/>
        </w:trPr>
        <w:tc>
          <w:tcPr>
            <w:tcW w:w="2711" w:type="dxa"/>
            <w:gridSpan w:val="3"/>
            <w:vAlign w:val="center"/>
          </w:tcPr>
          <w:p>
            <w:pPr>
              <w:spacing w:line="240" w:lineRule="atLeast"/>
              <w:jc w:val="center"/>
              <w:rPr>
                <w:rFonts w:ascii="宋体" w:hAnsi="宋体"/>
                <w:szCs w:val="21"/>
              </w:rPr>
            </w:pPr>
            <w:r>
              <w:rPr>
                <w:rFonts w:hint="eastAsia" w:ascii="宋体" w:hAnsi="宋体" w:eastAsia="宋体" w:cs="Times New Roman"/>
                <w:szCs w:val="21"/>
              </w:rPr>
              <w:t>采购项目名称</w:t>
            </w:r>
          </w:p>
        </w:tc>
        <w:tc>
          <w:tcPr>
            <w:tcW w:w="2091" w:type="dxa"/>
            <w:vAlign w:val="center"/>
          </w:tcPr>
          <w:p>
            <w:pPr>
              <w:spacing w:line="240" w:lineRule="atLeast"/>
              <w:jc w:val="center"/>
              <w:rPr>
                <w:rFonts w:ascii="宋体" w:hAnsi="宋体"/>
                <w:szCs w:val="21"/>
              </w:rPr>
            </w:pPr>
          </w:p>
        </w:tc>
        <w:tc>
          <w:tcPr>
            <w:tcW w:w="2124" w:type="dxa"/>
            <w:vAlign w:val="center"/>
          </w:tcPr>
          <w:p>
            <w:pPr>
              <w:spacing w:line="240" w:lineRule="atLeast"/>
              <w:jc w:val="center"/>
              <w:rPr>
                <w:rFonts w:ascii="宋体" w:hAnsi="宋体"/>
                <w:szCs w:val="21"/>
              </w:rPr>
            </w:pPr>
            <w:r>
              <w:rPr>
                <w:rFonts w:hint="eastAsia" w:ascii="宋体" w:hAnsi="宋体" w:eastAsia="宋体" w:cs="Times New Roman"/>
                <w:szCs w:val="21"/>
              </w:rPr>
              <w:t>项目编号</w:t>
            </w:r>
          </w:p>
        </w:tc>
        <w:tc>
          <w:tcPr>
            <w:tcW w:w="1991" w:type="dxa"/>
            <w:vAlign w:val="center"/>
          </w:tcPr>
          <w:p>
            <w:pPr>
              <w:spacing w:line="240" w:lineRule="atLeast"/>
              <w:jc w:val="center"/>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774" w:hRule="atLeast"/>
          <w:jc w:val="center"/>
        </w:trPr>
        <w:tc>
          <w:tcPr>
            <w:tcW w:w="2711" w:type="dxa"/>
            <w:gridSpan w:val="3"/>
            <w:vAlign w:val="center"/>
          </w:tcPr>
          <w:p>
            <w:pPr>
              <w:spacing w:line="240" w:lineRule="atLeast"/>
              <w:jc w:val="center"/>
              <w:rPr>
                <w:rFonts w:ascii="宋体" w:hAnsi="宋体"/>
                <w:szCs w:val="21"/>
              </w:rPr>
            </w:pPr>
            <w:r>
              <w:rPr>
                <w:rFonts w:hint="eastAsia" w:ascii="宋体" w:hAnsi="宋体" w:eastAsia="宋体" w:cs="Times New Roman"/>
                <w:szCs w:val="21"/>
              </w:rPr>
              <w:t>中标供应商名称</w:t>
            </w:r>
          </w:p>
        </w:tc>
        <w:tc>
          <w:tcPr>
            <w:tcW w:w="2091" w:type="dxa"/>
            <w:vAlign w:val="center"/>
          </w:tcPr>
          <w:p>
            <w:pPr>
              <w:spacing w:line="240" w:lineRule="atLeast"/>
              <w:jc w:val="center"/>
              <w:rPr>
                <w:rFonts w:ascii="宋体" w:hAnsi="宋体"/>
                <w:szCs w:val="21"/>
              </w:rPr>
            </w:pPr>
          </w:p>
        </w:tc>
        <w:tc>
          <w:tcPr>
            <w:tcW w:w="2124" w:type="dxa"/>
            <w:vAlign w:val="center"/>
          </w:tcPr>
          <w:p>
            <w:pPr>
              <w:spacing w:line="240" w:lineRule="atLeast"/>
              <w:jc w:val="center"/>
              <w:rPr>
                <w:rFonts w:ascii="宋体" w:hAnsi="宋体"/>
                <w:szCs w:val="21"/>
              </w:rPr>
            </w:pPr>
            <w:r>
              <w:rPr>
                <w:rFonts w:hint="eastAsia" w:ascii="宋体" w:hAnsi="宋体" w:eastAsia="宋体" w:cs="Times New Roman"/>
                <w:szCs w:val="21"/>
              </w:rPr>
              <w:t>供应商联系人及电话</w:t>
            </w:r>
          </w:p>
        </w:tc>
        <w:tc>
          <w:tcPr>
            <w:tcW w:w="1991" w:type="dxa"/>
            <w:vAlign w:val="center"/>
          </w:tcPr>
          <w:p>
            <w:pPr>
              <w:spacing w:line="240" w:lineRule="atLeast"/>
              <w:jc w:val="center"/>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42" w:hRule="atLeast"/>
          <w:jc w:val="center"/>
        </w:trPr>
        <w:tc>
          <w:tcPr>
            <w:tcW w:w="2711" w:type="dxa"/>
            <w:gridSpan w:val="3"/>
            <w:vAlign w:val="center"/>
          </w:tcPr>
          <w:p>
            <w:pPr>
              <w:spacing w:line="240" w:lineRule="atLeast"/>
              <w:jc w:val="center"/>
              <w:rPr>
                <w:rFonts w:ascii="宋体" w:hAnsi="宋体"/>
                <w:szCs w:val="21"/>
              </w:rPr>
            </w:pPr>
            <w:r>
              <w:rPr>
                <w:rFonts w:hint="eastAsia" w:ascii="宋体" w:hAnsi="宋体" w:eastAsia="宋体" w:cs="Times New Roman"/>
                <w:szCs w:val="21"/>
              </w:rPr>
              <w:t>中标金额</w:t>
            </w:r>
          </w:p>
        </w:tc>
        <w:tc>
          <w:tcPr>
            <w:tcW w:w="2091" w:type="dxa"/>
            <w:vAlign w:val="center"/>
          </w:tcPr>
          <w:p>
            <w:pPr>
              <w:spacing w:line="240" w:lineRule="atLeast"/>
              <w:jc w:val="center"/>
              <w:rPr>
                <w:rFonts w:ascii="宋体" w:hAnsi="宋体"/>
                <w:szCs w:val="21"/>
              </w:rPr>
            </w:pPr>
          </w:p>
        </w:tc>
        <w:tc>
          <w:tcPr>
            <w:tcW w:w="2124" w:type="dxa"/>
            <w:vAlign w:val="center"/>
          </w:tcPr>
          <w:p>
            <w:pPr>
              <w:spacing w:line="240" w:lineRule="atLeast"/>
              <w:jc w:val="center"/>
              <w:rPr>
                <w:rFonts w:ascii="宋体" w:hAnsi="宋体"/>
                <w:szCs w:val="21"/>
              </w:rPr>
            </w:pPr>
            <w:r>
              <w:rPr>
                <w:rFonts w:hint="eastAsia" w:ascii="宋体" w:hAnsi="宋体" w:eastAsia="宋体" w:cs="Times New Roman"/>
                <w:szCs w:val="21"/>
              </w:rPr>
              <w:t>合同履约时间</w:t>
            </w:r>
          </w:p>
        </w:tc>
        <w:tc>
          <w:tcPr>
            <w:tcW w:w="1991" w:type="dxa"/>
            <w:vAlign w:val="center"/>
          </w:tcPr>
          <w:p>
            <w:pPr>
              <w:spacing w:line="240" w:lineRule="atLeast"/>
              <w:rPr>
                <w:rFonts w:ascii="宋体" w:hAnsi="宋体"/>
                <w:szCs w:val="21"/>
              </w:rPr>
            </w:pPr>
            <w:r>
              <w:rPr>
                <w:rFonts w:hint="eastAsia" w:ascii="宋体" w:hAnsi="宋体" w:eastAsia="宋体" w:cs="Times New Roman"/>
                <w:szCs w:val="21"/>
              </w:rPr>
              <w:t>自       至</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19" w:hRule="atLeast"/>
          <w:jc w:val="center"/>
        </w:trPr>
        <w:tc>
          <w:tcPr>
            <w:tcW w:w="842" w:type="dxa"/>
            <w:vMerge w:val="restart"/>
            <w:vAlign w:val="center"/>
          </w:tcPr>
          <w:p>
            <w:pPr>
              <w:spacing w:line="240" w:lineRule="atLeast"/>
              <w:jc w:val="center"/>
              <w:rPr>
                <w:rFonts w:ascii="宋体" w:hAnsi="宋体"/>
                <w:b/>
                <w:szCs w:val="21"/>
              </w:rPr>
            </w:pPr>
            <w:r>
              <w:rPr>
                <w:rFonts w:hint="eastAsia" w:ascii="宋体" w:hAnsi="宋体" w:eastAsia="宋体" w:cs="Times New Roman"/>
                <w:b/>
                <w:szCs w:val="21"/>
              </w:rPr>
              <w:t>履约情况评价</w:t>
            </w:r>
          </w:p>
        </w:tc>
        <w:tc>
          <w:tcPr>
            <w:tcW w:w="1869" w:type="dxa"/>
            <w:gridSpan w:val="2"/>
            <w:tcBorders>
              <w:right w:val="single" w:color="auto" w:sz="4" w:space="0"/>
            </w:tcBorders>
            <w:vAlign w:val="center"/>
          </w:tcPr>
          <w:p>
            <w:pPr>
              <w:spacing w:line="240" w:lineRule="atLeast"/>
              <w:jc w:val="center"/>
              <w:rPr>
                <w:rFonts w:ascii="宋体" w:hAnsi="宋体"/>
                <w:szCs w:val="21"/>
              </w:rPr>
            </w:pPr>
            <w:r>
              <w:rPr>
                <w:rFonts w:hint="eastAsia" w:ascii="宋体" w:hAnsi="宋体" w:eastAsia="宋体" w:cs="Times New Roman"/>
                <w:szCs w:val="21"/>
              </w:rPr>
              <w:t>总体评价</w:t>
            </w:r>
          </w:p>
        </w:tc>
        <w:tc>
          <w:tcPr>
            <w:tcW w:w="6206" w:type="dxa"/>
            <w:gridSpan w:val="3"/>
            <w:tcBorders>
              <w:left w:val="single" w:color="auto" w:sz="4" w:space="0"/>
            </w:tcBorders>
            <w:vAlign w:val="center"/>
          </w:tcPr>
          <w:p>
            <w:pPr>
              <w:spacing w:line="240" w:lineRule="atLeast"/>
              <w:ind w:firstLine="105" w:firstLineChars="50"/>
              <w:jc w:val="center"/>
              <w:rPr>
                <w:rFonts w:ascii="宋体" w:hAnsi="宋体"/>
                <w:szCs w:val="21"/>
              </w:rPr>
            </w:pPr>
            <w:r>
              <w:rPr>
                <w:rFonts w:hint="eastAsia" w:ascii="宋体" w:hAnsi="宋体" w:eastAsia="宋体" w:cs="Times New Roman"/>
                <w:szCs w:val="21"/>
              </w:rPr>
              <w:t>□ 优          □ 良          □ 中           □ 差</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58" w:hRule="atLeast"/>
          <w:jc w:val="center"/>
        </w:trPr>
        <w:tc>
          <w:tcPr>
            <w:tcW w:w="842" w:type="dxa"/>
            <w:vMerge w:val="continue"/>
            <w:vAlign w:val="center"/>
          </w:tcPr>
          <w:p>
            <w:pPr>
              <w:spacing w:line="240" w:lineRule="atLeast"/>
              <w:jc w:val="center"/>
              <w:rPr>
                <w:rFonts w:ascii="宋体" w:hAnsi="宋体"/>
                <w:szCs w:val="21"/>
              </w:rPr>
            </w:pPr>
          </w:p>
        </w:tc>
        <w:tc>
          <w:tcPr>
            <w:tcW w:w="720" w:type="dxa"/>
            <w:vMerge w:val="restart"/>
            <w:tcBorders>
              <w:right w:val="single" w:color="auto" w:sz="4" w:space="0"/>
            </w:tcBorders>
            <w:vAlign w:val="center"/>
          </w:tcPr>
          <w:p>
            <w:pPr>
              <w:spacing w:line="240" w:lineRule="atLeast"/>
              <w:jc w:val="center"/>
              <w:rPr>
                <w:rFonts w:ascii="宋体" w:hAnsi="宋体"/>
                <w:szCs w:val="21"/>
              </w:rPr>
            </w:pPr>
            <w:r>
              <w:rPr>
                <w:rFonts w:hint="eastAsia" w:ascii="宋体" w:hAnsi="宋体" w:eastAsia="宋体" w:cs="Times New Roman"/>
                <w:szCs w:val="21"/>
              </w:rPr>
              <w:t>分项评价</w:t>
            </w:r>
          </w:p>
        </w:tc>
        <w:tc>
          <w:tcPr>
            <w:tcW w:w="1149" w:type="dxa"/>
            <w:tcBorders>
              <w:left w:val="single" w:color="auto" w:sz="4" w:space="0"/>
              <w:right w:val="single" w:color="auto" w:sz="4" w:space="0"/>
            </w:tcBorders>
            <w:vAlign w:val="center"/>
          </w:tcPr>
          <w:p>
            <w:pPr>
              <w:spacing w:line="240" w:lineRule="atLeast"/>
              <w:jc w:val="center"/>
              <w:rPr>
                <w:rFonts w:ascii="宋体" w:hAnsi="宋体"/>
                <w:szCs w:val="21"/>
              </w:rPr>
            </w:pPr>
            <w:r>
              <w:rPr>
                <w:rFonts w:hint="eastAsia" w:ascii="宋体" w:hAnsi="宋体" w:eastAsia="宋体" w:cs="Times New Roman"/>
                <w:szCs w:val="21"/>
              </w:rPr>
              <w:t>质量方面</w:t>
            </w:r>
          </w:p>
        </w:tc>
        <w:tc>
          <w:tcPr>
            <w:tcW w:w="6206" w:type="dxa"/>
            <w:gridSpan w:val="3"/>
            <w:tcBorders>
              <w:left w:val="single" w:color="auto" w:sz="4" w:space="0"/>
            </w:tcBorders>
            <w:vAlign w:val="center"/>
          </w:tcPr>
          <w:p>
            <w:pPr>
              <w:spacing w:line="240" w:lineRule="atLeast"/>
              <w:jc w:val="center"/>
              <w:rPr>
                <w:rFonts w:ascii="宋体" w:hAnsi="宋体"/>
                <w:szCs w:val="21"/>
              </w:rPr>
            </w:pPr>
            <w:r>
              <w:rPr>
                <w:rFonts w:hint="eastAsia" w:ascii="宋体" w:hAnsi="宋体" w:eastAsia="宋体" w:cs="Times New Roman"/>
                <w:szCs w:val="21"/>
              </w:rPr>
              <w:t xml:space="preserve"> □ 优          □ 良          □ 中           □ 差</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58" w:hRule="atLeast"/>
          <w:jc w:val="center"/>
        </w:trPr>
        <w:tc>
          <w:tcPr>
            <w:tcW w:w="842" w:type="dxa"/>
            <w:vMerge w:val="continue"/>
            <w:vAlign w:val="center"/>
          </w:tcPr>
          <w:p>
            <w:pPr>
              <w:spacing w:line="240" w:lineRule="atLeast"/>
              <w:jc w:val="center"/>
              <w:rPr>
                <w:rFonts w:ascii="宋体" w:hAnsi="宋体"/>
                <w:szCs w:val="21"/>
              </w:rPr>
            </w:pPr>
          </w:p>
        </w:tc>
        <w:tc>
          <w:tcPr>
            <w:tcW w:w="720" w:type="dxa"/>
            <w:vMerge w:val="continue"/>
            <w:tcBorders>
              <w:right w:val="single" w:color="auto" w:sz="4" w:space="0"/>
            </w:tcBorders>
            <w:vAlign w:val="center"/>
          </w:tcPr>
          <w:p>
            <w:pPr>
              <w:spacing w:line="240" w:lineRule="atLeast"/>
              <w:jc w:val="center"/>
              <w:rPr>
                <w:rFonts w:ascii="宋体" w:hAnsi="宋体"/>
                <w:szCs w:val="21"/>
              </w:rPr>
            </w:pPr>
          </w:p>
        </w:tc>
        <w:tc>
          <w:tcPr>
            <w:tcW w:w="1149" w:type="dxa"/>
            <w:tcBorders>
              <w:left w:val="single" w:color="auto" w:sz="4" w:space="0"/>
              <w:right w:val="single" w:color="auto" w:sz="4" w:space="0"/>
            </w:tcBorders>
            <w:vAlign w:val="center"/>
          </w:tcPr>
          <w:p>
            <w:pPr>
              <w:spacing w:line="240" w:lineRule="atLeast"/>
              <w:jc w:val="center"/>
              <w:rPr>
                <w:rFonts w:ascii="宋体" w:hAnsi="宋体"/>
                <w:szCs w:val="21"/>
              </w:rPr>
            </w:pPr>
            <w:r>
              <w:rPr>
                <w:rFonts w:hint="eastAsia" w:ascii="宋体" w:hAnsi="宋体" w:eastAsia="宋体" w:cs="Times New Roman"/>
                <w:szCs w:val="21"/>
              </w:rPr>
              <w:t>价格方面</w:t>
            </w:r>
          </w:p>
        </w:tc>
        <w:tc>
          <w:tcPr>
            <w:tcW w:w="6206" w:type="dxa"/>
            <w:gridSpan w:val="3"/>
            <w:tcBorders>
              <w:left w:val="single" w:color="auto" w:sz="4" w:space="0"/>
            </w:tcBorders>
            <w:vAlign w:val="center"/>
          </w:tcPr>
          <w:p>
            <w:pPr>
              <w:spacing w:line="240" w:lineRule="atLeast"/>
              <w:jc w:val="center"/>
              <w:rPr>
                <w:rFonts w:ascii="宋体" w:hAnsi="宋体"/>
                <w:szCs w:val="21"/>
              </w:rPr>
            </w:pPr>
            <w:r>
              <w:rPr>
                <w:rFonts w:hint="eastAsia" w:ascii="宋体" w:hAnsi="宋体" w:eastAsia="宋体" w:cs="Times New Roman"/>
                <w:szCs w:val="21"/>
              </w:rPr>
              <w:t xml:space="preserve"> □ 优          □ 良          □ 中           □ 差</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58" w:hRule="atLeast"/>
          <w:jc w:val="center"/>
        </w:trPr>
        <w:tc>
          <w:tcPr>
            <w:tcW w:w="842" w:type="dxa"/>
            <w:vMerge w:val="continue"/>
            <w:vAlign w:val="center"/>
          </w:tcPr>
          <w:p>
            <w:pPr>
              <w:spacing w:line="240" w:lineRule="atLeast"/>
              <w:jc w:val="center"/>
              <w:rPr>
                <w:rFonts w:ascii="宋体" w:hAnsi="宋体"/>
                <w:szCs w:val="21"/>
              </w:rPr>
            </w:pPr>
          </w:p>
        </w:tc>
        <w:tc>
          <w:tcPr>
            <w:tcW w:w="720" w:type="dxa"/>
            <w:vMerge w:val="continue"/>
            <w:tcBorders>
              <w:right w:val="single" w:color="auto" w:sz="4" w:space="0"/>
            </w:tcBorders>
            <w:vAlign w:val="center"/>
          </w:tcPr>
          <w:p>
            <w:pPr>
              <w:spacing w:line="240" w:lineRule="atLeast"/>
              <w:jc w:val="center"/>
              <w:rPr>
                <w:rFonts w:ascii="宋体" w:hAnsi="宋体"/>
                <w:szCs w:val="21"/>
              </w:rPr>
            </w:pPr>
          </w:p>
        </w:tc>
        <w:tc>
          <w:tcPr>
            <w:tcW w:w="1149" w:type="dxa"/>
            <w:tcBorders>
              <w:left w:val="single" w:color="auto" w:sz="4" w:space="0"/>
              <w:right w:val="single" w:color="auto" w:sz="4" w:space="0"/>
            </w:tcBorders>
            <w:vAlign w:val="center"/>
          </w:tcPr>
          <w:p>
            <w:pPr>
              <w:spacing w:line="240" w:lineRule="atLeast"/>
              <w:jc w:val="center"/>
              <w:rPr>
                <w:rFonts w:ascii="宋体" w:hAnsi="宋体"/>
                <w:szCs w:val="21"/>
              </w:rPr>
            </w:pPr>
            <w:r>
              <w:rPr>
                <w:rFonts w:hint="eastAsia" w:ascii="宋体" w:hAnsi="宋体" w:eastAsia="宋体" w:cs="Times New Roman"/>
                <w:szCs w:val="21"/>
              </w:rPr>
              <w:t>服务方面</w:t>
            </w:r>
          </w:p>
        </w:tc>
        <w:tc>
          <w:tcPr>
            <w:tcW w:w="6206" w:type="dxa"/>
            <w:gridSpan w:val="3"/>
            <w:tcBorders>
              <w:left w:val="single" w:color="auto" w:sz="4" w:space="0"/>
            </w:tcBorders>
            <w:vAlign w:val="center"/>
          </w:tcPr>
          <w:p>
            <w:pPr>
              <w:spacing w:line="240" w:lineRule="atLeast"/>
              <w:jc w:val="center"/>
              <w:rPr>
                <w:rFonts w:ascii="宋体" w:hAnsi="宋体"/>
                <w:szCs w:val="21"/>
              </w:rPr>
            </w:pPr>
            <w:r>
              <w:rPr>
                <w:rFonts w:hint="eastAsia" w:ascii="宋体" w:hAnsi="宋体" w:eastAsia="宋体" w:cs="Times New Roman"/>
                <w:szCs w:val="21"/>
              </w:rPr>
              <w:t xml:space="preserve"> □ 优          □ 良          □ 中           □ 差</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58" w:hRule="atLeast"/>
          <w:jc w:val="center"/>
        </w:trPr>
        <w:tc>
          <w:tcPr>
            <w:tcW w:w="842" w:type="dxa"/>
            <w:vMerge w:val="continue"/>
            <w:vAlign w:val="center"/>
          </w:tcPr>
          <w:p>
            <w:pPr>
              <w:spacing w:line="240" w:lineRule="atLeast"/>
              <w:jc w:val="center"/>
              <w:rPr>
                <w:rFonts w:ascii="宋体" w:hAnsi="宋体"/>
                <w:szCs w:val="21"/>
              </w:rPr>
            </w:pPr>
          </w:p>
        </w:tc>
        <w:tc>
          <w:tcPr>
            <w:tcW w:w="720" w:type="dxa"/>
            <w:vMerge w:val="continue"/>
            <w:tcBorders>
              <w:right w:val="single" w:color="auto" w:sz="4" w:space="0"/>
            </w:tcBorders>
            <w:vAlign w:val="center"/>
          </w:tcPr>
          <w:p>
            <w:pPr>
              <w:spacing w:line="240" w:lineRule="atLeast"/>
              <w:jc w:val="center"/>
              <w:rPr>
                <w:rFonts w:ascii="宋体" w:hAnsi="宋体"/>
                <w:szCs w:val="21"/>
              </w:rPr>
            </w:pPr>
          </w:p>
        </w:tc>
        <w:tc>
          <w:tcPr>
            <w:tcW w:w="1149" w:type="dxa"/>
            <w:tcBorders>
              <w:left w:val="single" w:color="auto" w:sz="4" w:space="0"/>
              <w:right w:val="single" w:color="auto" w:sz="4" w:space="0"/>
            </w:tcBorders>
            <w:vAlign w:val="center"/>
          </w:tcPr>
          <w:p>
            <w:pPr>
              <w:spacing w:line="240" w:lineRule="atLeast"/>
              <w:jc w:val="center"/>
              <w:rPr>
                <w:rFonts w:ascii="宋体" w:hAnsi="宋体"/>
                <w:szCs w:val="21"/>
              </w:rPr>
            </w:pPr>
            <w:r>
              <w:rPr>
                <w:rFonts w:hint="eastAsia" w:ascii="宋体" w:hAnsi="宋体" w:eastAsia="宋体" w:cs="Times New Roman"/>
                <w:szCs w:val="21"/>
              </w:rPr>
              <w:t>时间方面</w:t>
            </w:r>
          </w:p>
        </w:tc>
        <w:tc>
          <w:tcPr>
            <w:tcW w:w="6206" w:type="dxa"/>
            <w:gridSpan w:val="3"/>
            <w:tcBorders>
              <w:left w:val="single" w:color="auto" w:sz="4" w:space="0"/>
            </w:tcBorders>
            <w:vAlign w:val="center"/>
          </w:tcPr>
          <w:p>
            <w:pPr>
              <w:spacing w:line="240" w:lineRule="atLeast"/>
              <w:jc w:val="center"/>
              <w:rPr>
                <w:rFonts w:ascii="宋体" w:hAnsi="宋体"/>
                <w:szCs w:val="21"/>
              </w:rPr>
            </w:pPr>
            <w:r>
              <w:rPr>
                <w:rFonts w:hint="eastAsia" w:ascii="宋体" w:hAnsi="宋体" w:eastAsia="宋体" w:cs="Times New Roman"/>
                <w:szCs w:val="21"/>
              </w:rPr>
              <w:t xml:space="preserve"> □ 优          □ 良          □ 中           □ 差</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58" w:hRule="atLeast"/>
          <w:jc w:val="center"/>
        </w:trPr>
        <w:tc>
          <w:tcPr>
            <w:tcW w:w="842" w:type="dxa"/>
            <w:vMerge w:val="continue"/>
            <w:vAlign w:val="center"/>
          </w:tcPr>
          <w:p>
            <w:pPr>
              <w:spacing w:line="240" w:lineRule="atLeast"/>
              <w:jc w:val="center"/>
              <w:rPr>
                <w:rFonts w:ascii="宋体" w:hAnsi="宋体"/>
                <w:szCs w:val="21"/>
              </w:rPr>
            </w:pPr>
          </w:p>
        </w:tc>
        <w:tc>
          <w:tcPr>
            <w:tcW w:w="720" w:type="dxa"/>
            <w:vMerge w:val="continue"/>
            <w:tcBorders>
              <w:right w:val="single" w:color="auto" w:sz="4" w:space="0"/>
            </w:tcBorders>
            <w:vAlign w:val="center"/>
          </w:tcPr>
          <w:p>
            <w:pPr>
              <w:spacing w:line="240" w:lineRule="atLeast"/>
              <w:jc w:val="center"/>
              <w:rPr>
                <w:rFonts w:ascii="宋体" w:hAnsi="宋体"/>
                <w:szCs w:val="21"/>
              </w:rPr>
            </w:pPr>
          </w:p>
        </w:tc>
        <w:tc>
          <w:tcPr>
            <w:tcW w:w="1149" w:type="dxa"/>
            <w:tcBorders>
              <w:left w:val="single" w:color="auto" w:sz="4" w:space="0"/>
              <w:right w:val="single" w:color="auto" w:sz="4" w:space="0"/>
            </w:tcBorders>
            <w:vAlign w:val="center"/>
          </w:tcPr>
          <w:p>
            <w:pPr>
              <w:spacing w:line="240" w:lineRule="atLeast"/>
              <w:jc w:val="center"/>
              <w:rPr>
                <w:rFonts w:ascii="宋体" w:hAnsi="宋体"/>
                <w:szCs w:val="21"/>
              </w:rPr>
            </w:pPr>
            <w:r>
              <w:rPr>
                <w:rFonts w:hint="eastAsia" w:ascii="宋体" w:hAnsi="宋体" w:eastAsia="宋体" w:cs="Times New Roman"/>
                <w:szCs w:val="21"/>
              </w:rPr>
              <w:t>环境保护</w:t>
            </w:r>
          </w:p>
        </w:tc>
        <w:tc>
          <w:tcPr>
            <w:tcW w:w="6206" w:type="dxa"/>
            <w:gridSpan w:val="3"/>
            <w:tcBorders>
              <w:left w:val="single" w:color="auto" w:sz="4" w:space="0"/>
            </w:tcBorders>
            <w:vAlign w:val="center"/>
          </w:tcPr>
          <w:p>
            <w:pPr>
              <w:spacing w:line="240" w:lineRule="atLeast"/>
              <w:jc w:val="center"/>
              <w:rPr>
                <w:rFonts w:ascii="宋体" w:hAnsi="宋体"/>
                <w:szCs w:val="21"/>
              </w:rPr>
            </w:pPr>
            <w:r>
              <w:rPr>
                <w:rFonts w:hint="eastAsia" w:ascii="宋体" w:hAnsi="宋体" w:eastAsia="宋体" w:cs="Times New Roman"/>
                <w:szCs w:val="21"/>
              </w:rPr>
              <w:t xml:space="preserve"> □ 优          □ 良          □ 中           □ 差</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1377" w:hRule="atLeast"/>
          <w:jc w:val="center"/>
        </w:trPr>
        <w:tc>
          <w:tcPr>
            <w:tcW w:w="842" w:type="dxa"/>
            <w:vMerge w:val="continue"/>
            <w:vAlign w:val="center"/>
          </w:tcPr>
          <w:p>
            <w:pPr>
              <w:spacing w:line="240" w:lineRule="atLeast"/>
              <w:jc w:val="center"/>
              <w:rPr>
                <w:rFonts w:ascii="宋体" w:hAnsi="宋体"/>
                <w:szCs w:val="21"/>
              </w:rPr>
            </w:pPr>
          </w:p>
        </w:tc>
        <w:tc>
          <w:tcPr>
            <w:tcW w:w="720" w:type="dxa"/>
            <w:vMerge w:val="continue"/>
            <w:tcBorders>
              <w:right w:val="single" w:color="auto" w:sz="4" w:space="0"/>
            </w:tcBorders>
            <w:vAlign w:val="center"/>
          </w:tcPr>
          <w:p>
            <w:pPr>
              <w:spacing w:line="240" w:lineRule="atLeast"/>
              <w:jc w:val="center"/>
              <w:rPr>
                <w:rFonts w:ascii="宋体" w:hAnsi="宋体"/>
                <w:szCs w:val="21"/>
              </w:rPr>
            </w:pPr>
          </w:p>
        </w:tc>
        <w:tc>
          <w:tcPr>
            <w:tcW w:w="1149" w:type="dxa"/>
            <w:tcBorders>
              <w:left w:val="single" w:color="auto" w:sz="4" w:space="0"/>
              <w:right w:val="single" w:color="auto" w:sz="4" w:space="0"/>
            </w:tcBorders>
            <w:vAlign w:val="center"/>
          </w:tcPr>
          <w:p>
            <w:pPr>
              <w:spacing w:line="240" w:lineRule="atLeast"/>
              <w:jc w:val="center"/>
              <w:rPr>
                <w:rFonts w:ascii="宋体" w:hAnsi="宋体"/>
                <w:szCs w:val="21"/>
              </w:rPr>
            </w:pPr>
            <w:r>
              <w:rPr>
                <w:rFonts w:hint="eastAsia" w:ascii="宋体" w:hAnsi="宋体" w:eastAsia="宋体" w:cs="Times New Roman"/>
                <w:szCs w:val="21"/>
              </w:rPr>
              <w:t>其他</w:t>
            </w:r>
          </w:p>
        </w:tc>
        <w:tc>
          <w:tcPr>
            <w:tcW w:w="6206" w:type="dxa"/>
            <w:gridSpan w:val="3"/>
            <w:tcBorders>
              <w:left w:val="single" w:color="auto" w:sz="4" w:space="0"/>
            </w:tcBorders>
            <w:vAlign w:val="center"/>
          </w:tcPr>
          <w:p>
            <w:pPr>
              <w:spacing w:before="231" w:beforeLines="50" w:after="231" w:afterLines="50" w:line="240" w:lineRule="atLeast"/>
              <w:rPr>
                <w:rFonts w:ascii="宋体" w:hAnsi="宋体"/>
                <w:szCs w:val="21"/>
                <w:u w:val="single"/>
              </w:rPr>
            </w:pPr>
            <w:r>
              <w:rPr>
                <w:rFonts w:hint="eastAsia" w:ascii="宋体" w:hAnsi="宋体" w:eastAsia="宋体" w:cs="Times New Roman"/>
                <w:szCs w:val="21"/>
              </w:rPr>
              <w:t>评价内容为：</w:t>
            </w:r>
          </w:p>
          <w:p>
            <w:pPr>
              <w:spacing w:before="231" w:beforeLines="50" w:after="231" w:afterLines="50" w:line="240" w:lineRule="atLeast"/>
              <w:rPr>
                <w:rFonts w:ascii="宋体" w:hAnsi="宋体"/>
                <w:szCs w:val="21"/>
              </w:rPr>
            </w:pPr>
            <w:r>
              <w:rPr>
                <w:rFonts w:hint="eastAsia" w:ascii="宋体" w:hAnsi="宋体" w:eastAsia="宋体" w:cs="Times New Roman"/>
                <w:szCs w:val="21"/>
              </w:rPr>
              <w:t>评价等级为：  □ 优       □ 良        □ 中         □ 差</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1296" w:hRule="atLeast"/>
          <w:jc w:val="center"/>
        </w:trPr>
        <w:tc>
          <w:tcPr>
            <w:tcW w:w="1562" w:type="dxa"/>
            <w:gridSpan w:val="2"/>
            <w:vAlign w:val="center"/>
          </w:tcPr>
          <w:p>
            <w:pPr>
              <w:spacing w:line="240" w:lineRule="atLeast"/>
              <w:jc w:val="center"/>
              <w:rPr>
                <w:rFonts w:ascii="宋体" w:hAnsi="宋体"/>
                <w:szCs w:val="21"/>
              </w:rPr>
            </w:pPr>
            <w:r>
              <w:rPr>
                <w:rFonts w:hint="eastAsia" w:ascii="宋体" w:hAnsi="宋体" w:eastAsia="宋体" w:cs="Times New Roman"/>
                <w:szCs w:val="21"/>
              </w:rPr>
              <w:t>具体情况说明</w:t>
            </w:r>
          </w:p>
        </w:tc>
        <w:tc>
          <w:tcPr>
            <w:tcW w:w="7355" w:type="dxa"/>
            <w:gridSpan w:val="4"/>
          </w:tcPr>
          <w:p>
            <w:pPr>
              <w:spacing w:line="240" w:lineRule="atLeast"/>
              <w:rPr>
                <w:rFonts w:ascii="宋体" w:hAnsi="宋体"/>
                <w:szCs w:val="21"/>
              </w:rPr>
            </w:pPr>
          </w:p>
          <w:p>
            <w:pPr>
              <w:spacing w:line="240" w:lineRule="atLeast"/>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1880" w:hRule="atLeast"/>
          <w:jc w:val="center"/>
        </w:trPr>
        <w:tc>
          <w:tcPr>
            <w:tcW w:w="1562" w:type="dxa"/>
            <w:gridSpan w:val="2"/>
            <w:vAlign w:val="center"/>
          </w:tcPr>
          <w:p>
            <w:pPr>
              <w:spacing w:line="240" w:lineRule="atLeast"/>
              <w:jc w:val="center"/>
              <w:rPr>
                <w:rFonts w:ascii="宋体" w:hAnsi="宋体"/>
                <w:szCs w:val="21"/>
              </w:rPr>
            </w:pPr>
            <w:r>
              <w:rPr>
                <w:rFonts w:hint="eastAsia" w:ascii="宋体" w:hAnsi="宋体" w:eastAsia="宋体" w:cs="Times New Roman"/>
                <w:szCs w:val="21"/>
              </w:rPr>
              <w:t>采购单位意见</w:t>
            </w:r>
          </w:p>
          <w:p>
            <w:pPr>
              <w:spacing w:line="240" w:lineRule="atLeast"/>
              <w:jc w:val="center"/>
              <w:rPr>
                <w:rFonts w:ascii="宋体" w:hAnsi="宋体"/>
                <w:szCs w:val="21"/>
              </w:rPr>
            </w:pPr>
            <w:r>
              <w:rPr>
                <w:rFonts w:hint="eastAsia" w:ascii="宋体" w:hAnsi="宋体" w:eastAsia="宋体" w:cs="Times New Roman"/>
                <w:szCs w:val="21"/>
              </w:rPr>
              <w:t>（公章）</w:t>
            </w:r>
          </w:p>
        </w:tc>
        <w:tc>
          <w:tcPr>
            <w:tcW w:w="7355" w:type="dxa"/>
            <w:gridSpan w:val="4"/>
            <w:vAlign w:val="center"/>
          </w:tcPr>
          <w:p>
            <w:pPr>
              <w:spacing w:line="240" w:lineRule="atLeast"/>
              <w:rPr>
                <w:rFonts w:ascii="宋体" w:hAnsi="宋体"/>
                <w:szCs w:val="21"/>
              </w:rPr>
            </w:pPr>
          </w:p>
          <w:p>
            <w:pPr>
              <w:spacing w:line="240" w:lineRule="atLeast"/>
              <w:ind w:firstLine="3780" w:firstLineChars="1800"/>
              <w:rPr>
                <w:rFonts w:ascii="宋体" w:hAnsi="宋体"/>
                <w:szCs w:val="21"/>
              </w:rPr>
            </w:pPr>
          </w:p>
          <w:p>
            <w:pPr>
              <w:spacing w:line="240" w:lineRule="atLeast"/>
              <w:ind w:firstLine="3780" w:firstLineChars="1800"/>
              <w:rPr>
                <w:rFonts w:ascii="宋体" w:hAnsi="宋体"/>
                <w:szCs w:val="21"/>
              </w:rPr>
            </w:pPr>
            <w:r>
              <w:rPr>
                <w:rFonts w:hint="eastAsia" w:ascii="宋体" w:hAnsi="宋体" w:eastAsia="宋体" w:cs="Times New Roman"/>
                <w:szCs w:val="21"/>
              </w:rPr>
              <w:t>日期：   年   月   日</w:t>
            </w:r>
          </w:p>
        </w:tc>
      </w:tr>
    </w:tbl>
    <w:p>
      <w:pPr>
        <w:spacing w:line="240" w:lineRule="atLeast"/>
        <w:rPr>
          <w:rFonts w:ascii="宋体" w:hAnsi="宋体"/>
          <w:szCs w:val="21"/>
        </w:rPr>
      </w:pPr>
    </w:p>
    <w:p>
      <w:pPr>
        <w:spacing w:line="240" w:lineRule="atLeast"/>
        <w:rPr>
          <w:rFonts w:ascii="宋体" w:hAnsi="宋体"/>
          <w:szCs w:val="21"/>
        </w:rPr>
      </w:pPr>
      <w:r>
        <w:rPr>
          <w:rFonts w:hint="eastAsia" w:ascii="宋体" w:hAnsi="宋体" w:eastAsia="宋体" w:cs="Times New Roman"/>
          <w:szCs w:val="21"/>
        </w:rPr>
        <w:t>说明：</w:t>
      </w:r>
    </w:p>
    <w:p>
      <w:pPr>
        <w:spacing w:line="240" w:lineRule="atLeast"/>
        <w:rPr>
          <w:rFonts w:ascii="宋体" w:hAnsi="宋体"/>
          <w:szCs w:val="21"/>
        </w:rPr>
      </w:pPr>
      <w:r>
        <w:rPr>
          <w:rFonts w:hint="eastAsia" w:ascii="宋体" w:hAnsi="宋体" w:eastAsia="宋体" w:cs="Times New Roman"/>
          <w:szCs w:val="21"/>
        </w:rPr>
        <w:t>1、本表为采购单位向深圳大学总医院招投标管理办公室</w:t>
      </w:r>
      <w:r>
        <w:rPr>
          <w:rFonts w:ascii="宋体" w:hAnsi="宋体" w:eastAsia="宋体" w:cs="Times New Roman"/>
          <w:szCs w:val="21"/>
        </w:rPr>
        <w:t>反映</w:t>
      </w:r>
      <w:r>
        <w:rPr>
          <w:rFonts w:hint="eastAsia" w:ascii="宋体" w:hAnsi="宋体" w:eastAsia="宋体" w:cs="Times New Roman"/>
          <w:szCs w:val="21"/>
        </w:rPr>
        <w:t>深圳</w:t>
      </w:r>
      <w:r>
        <w:rPr>
          <w:rFonts w:ascii="宋体" w:hAnsi="宋体" w:eastAsia="宋体" w:cs="Times New Roman"/>
          <w:szCs w:val="21"/>
        </w:rPr>
        <w:t>大学</w:t>
      </w:r>
      <w:r>
        <w:rPr>
          <w:rFonts w:hint="eastAsia" w:ascii="宋体" w:hAnsi="宋体" w:eastAsia="宋体" w:cs="Times New Roman"/>
          <w:szCs w:val="21"/>
        </w:rPr>
        <w:t>总医院采购项目履约情况时所用；</w:t>
      </w:r>
    </w:p>
    <w:p>
      <w:pPr>
        <w:spacing w:line="240" w:lineRule="atLeast"/>
        <w:rPr>
          <w:rFonts w:ascii="宋体" w:hAnsi="宋体"/>
          <w:szCs w:val="21"/>
        </w:rPr>
      </w:pPr>
      <w:r>
        <w:rPr>
          <w:rFonts w:hint="eastAsia" w:ascii="宋体" w:hAnsi="宋体" w:eastAsia="宋体" w:cs="Times New Roman"/>
          <w:szCs w:val="21"/>
        </w:rPr>
        <w:t>2、履约情况评价分为优、良、中、差四个等级，请在对应的框前打“√”，然后在“具体情况说明”一栏详细说明有关情况。</w:t>
      </w:r>
    </w:p>
    <w:p>
      <w:pPr>
        <w:pStyle w:val="2"/>
      </w:pPr>
      <w:r>
        <w:rPr>
          <w:rFonts w:hint="eastAsia"/>
        </w:rPr>
        <w:t>第二册  通用条款（公开招标）</w:t>
      </w:r>
    </w:p>
    <w:p>
      <w:pPr>
        <w:jc w:val="center"/>
        <w:rPr>
          <w:rFonts w:ascii="宋体" w:hAnsi="宋体"/>
          <w:b/>
          <w:color w:val="FF0000"/>
          <w:sz w:val="28"/>
          <w:szCs w:val="28"/>
        </w:rPr>
      </w:pPr>
      <w:r>
        <w:rPr>
          <w:rFonts w:hint="eastAsia" w:ascii="宋体" w:hAnsi="宋体"/>
          <w:b/>
          <w:color w:val="FF0000"/>
          <w:sz w:val="28"/>
          <w:szCs w:val="28"/>
        </w:rPr>
        <w:t>（</w:t>
      </w:r>
      <w:r>
        <w:rPr>
          <w:rFonts w:ascii="宋体" w:hAnsi="宋体"/>
          <w:b/>
          <w:color w:val="FF0000"/>
          <w:sz w:val="28"/>
          <w:szCs w:val="28"/>
        </w:rPr>
        <w:t>1</w:t>
      </w:r>
      <w:r>
        <w:rPr>
          <w:rFonts w:hint="eastAsia" w:ascii="宋体" w:hAnsi="宋体"/>
          <w:b/>
          <w:color w:val="FF0000"/>
          <w:sz w:val="28"/>
          <w:szCs w:val="28"/>
        </w:rPr>
        <w:t>.0版本）</w:t>
      </w:r>
    </w:p>
    <w:p>
      <w:pPr>
        <w:pStyle w:val="8"/>
        <w:numPr>
          <w:ilvl w:val="0"/>
          <w:numId w:val="20"/>
        </w:numPr>
        <w:tabs>
          <w:tab w:val="left" w:pos="3960"/>
          <w:tab w:val="clear" w:pos="720"/>
        </w:tabs>
        <w:ind w:left="3960"/>
        <w:rPr>
          <w:rFonts w:ascii="宋体" w:hAnsi="宋体" w:eastAsia="宋体" w:cs="宋体"/>
        </w:rPr>
      </w:pPr>
      <w:r>
        <w:rPr>
          <w:rFonts w:hint="eastAsia" w:ascii="宋体" w:hAnsi="宋体" w:eastAsia="宋体" w:cs="宋体"/>
        </w:rPr>
        <w:t>总则</w:t>
      </w:r>
    </w:p>
    <w:p>
      <w:pPr>
        <w:spacing w:line="360" w:lineRule="auto"/>
        <w:rPr>
          <w:rFonts w:ascii="宋体" w:hAnsi="宋体" w:cs="宋体"/>
          <w:sz w:val="24"/>
        </w:rPr>
      </w:pPr>
      <w:r>
        <w:rPr>
          <w:rFonts w:hint="eastAsia" w:ascii="宋体" w:hAnsi="宋体" w:eastAsia="宋体" w:cs="宋体"/>
          <w:sz w:val="24"/>
        </w:rPr>
        <w:t>1.通用条款说明</w:t>
      </w:r>
    </w:p>
    <w:p>
      <w:pPr>
        <w:ind w:firstLine="411" w:firstLineChars="196"/>
        <w:rPr>
          <w:rFonts w:ascii="宋体" w:hAnsi="宋体" w:cs="宋体"/>
          <w:szCs w:val="21"/>
        </w:rPr>
      </w:pPr>
      <w:r>
        <w:rPr>
          <w:rFonts w:hint="eastAsia" w:ascii="宋体" w:hAnsi="宋体" w:eastAsia="宋体" w:cs="宋体"/>
          <w:szCs w:val="21"/>
        </w:rPr>
        <w:t>1.1深圳大学总医院招投标管理办公室 发出招标文件通用条款版本，列出深圳大学总医院采购项目进行招标采购所适用的通用条款内容。如有需要，深圳大学总医院招投标管理办公室可对通用条款增加附录或补充内容。</w:t>
      </w:r>
    </w:p>
    <w:p>
      <w:pPr>
        <w:ind w:firstLine="411" w:firstLineChars="196"/>
        <w:rPr>
          <w:rFonts w:ascii="宋体" w:hAnsi="宋体" w:cs="宋体"/>
          <w:szCs w:val="21"/>
        </w:rPr>
      </w:pPr>
      <w:r>
        <w:rPr>
          <w:rFonts w:hint="eastAsia" w:ascii="宋体" w:hAnsi="宋体" w:eastAsia="宋体" w:cs="宋体"/>
          <w:szCs w:val="21"/>
        </w:rPr>
        <w:t>1.2招标文件分为第一册“专用条款”和第二册“通用条款”。</w:t>
      </w:r>
    </w:p>
    <w:p>
      <w:pPr>
        <w:ind w:firstLine="411" w:firstLineChars="196"/>
        <w:rPr>
          <w:rFonts w:ascii="宋体" w:hAnsi="宋体" w:cs="宋体"/>
          <w:szCs w:val="21"/>
        </w:rPr>
      </w:pPr>
      <w:r>
        <w:rPr>
          <w:rFonts w:hint="eastAsia" w:ascii="宋体" w:hAnsi="宋体" w:eastAsia="宋体" w:cs="宋体"/>
          <w:szCs w:val="21"/>
        </w:rPr>
        <w:t>1.3“专用条款”是对本次采购项目的具体要求，包含投标人资格要求、招标项目需求、投标文件格式、附件等内容。</w:t>
      </w:r>
    </w:p>
    <w:p>
      <w:pPr>
        <w:ind w:firstLine="411" w:firstLineChars="196"/>
        <w:rPr>
          <w:rFonts w:ascii="宋体" w:hAnsi="宋体" w:cs="宋体"/>
          <w:szCs w:val="21"/>
        </w:rPr>
      </w:pPr>
      <w:r>
        <w:rPr>
          <w:rFonts w:hint="eastAsia" w:ascii="宋体" w:hAnsi="宋体" w:eastAsia="宋体" w:cs="宋体"/>
          <w:szCs w:val="21"/>
        </w:rPr>
        <w:t>1.4“通用条款”是适用于采购项目的基础性条款，具有普遍性和通用性。</w:t>
      </w:r>
    </w:p>
    <w:p>
      <w:pPr>
        <w:ind w:firstLine="411" w:firstLineChars="196"/>
        <w:rPr>
          <w:rFonts w:ascii="宋体" w:hAnsi="宋体" w:cs="宋体"/>
          <w:szCs w:val="21"/>
        </w:rPr>
      </w:pPr>
      <w:r>
        <w:rPr>
          <w:rFonts w:hint="eastAsia" w:ascii="宋体" w:hAnsi="宋体" w:eastAsia="宋体" w:cs="宋体"/>
          <w:szCs w:val="21"/>
        </w:rPr>
        <w:t>1.5 “专用条款”和“通用条款”表述不一致或有冲突时，以“专用条款”为准。</w:t>
      </w:r>
    </w:p>
    <w:p>
      <w:pPr>
        <w:spacing w:line="360" w:lineRule="auto"/>
        <w:rPr>
          <w:rFonts w:ascii="宋体" w:hAnsi="宋体" w:cs="宋体"/>
          <w:sz w:val="24"/>
        </w:rPr>
      </w:pPr>
      <w:r>
        <w:rPr>
          <w:rFonts w:hint="eastAsia" w:ascii="宋体" w:hAnsi="宋体" w:eastAsia="宋体" w:cs="宋体"/>
          <w:sz w:val="24"/>
        </w:rPr>
        <w:t>2．招标说明</w:t>
      </w:r>
    </w:p>
    <w:p>
      <w:pPr>
        <w:ind w:firstLine="411" w:firstLineChars="196"/>
        <w:rPr>
          <w:rFonts w:ascii="宋体" w:hAnsi="宋体" w:cs="宋体"/>
          <w:szCs w:val="21"/>
        </w:rPr>
      </w:pPr>
      <w:r>
        <w:rPr>
          <w:rFonts w:hint="eastAsia" w:ascii="宋体" w:hAnsi="宋体" w:eastAsia="宋体" w:cs="宋体"/>
          <w:szCs w:val="21"/>
        </w:rPr>
        <w:t>本项目按照《深圳经济特区政府采购条例》、《深圳经济特区政府采购条例实施细则》和深圳大学总医院的有关规定，并参考有关法规和规定通过招标方式确定中标供应商。</w:t>
      </w:r>
    </w:p>
    <w:p>
      <w:pPr>
        <w:spacing w:line="360" w:lineRule="auto"/>
        <w:rPr>
          <w:rFonts w:ascii="宋体" w:hAnsi="宋体" w:cs="宋体"/>
          <w:sz w:val="24"/>
        </w:rPr>
      </w:pPr>
      <w:r>
        <w:rPr>
          <w:rFonts w:hint="eastAsia" w:ascii="宋体" w:hAnsi="宋体" w:eastAsia="宋体" w:cs="宋体"/>
          <w:sz w:val="24"/>
        </w:rPr>
        <w:t>3．定义</w:t>
      </w:r>
    </w:p>
    <w:p>
      <w:pPr>
        <w:ind w:firstLine="420" w:firstLineChars="200"/>
        <w:rPr>
          <w:rFonts w:ascii="宋体" w:hAnsi="宋体" w:cs="宋体"/>
          <w:szCs w:val="21"/>
        </w:rPr>
      </w:pPr>
      <w:r>
        <w:rPr>
          <w:rFonts w:hint="eastAsia" w:ascii="宋体" w:hAnsi="宋体" w:eastAsia="宋体" w:cs="宋体"/>
          <w:szCs w:val="21"/>
        </w:rPr>
        <w:t>招标文件中下列术语应解释为：</w:t>
      </w:r>
    </w:p>
    <w:p>
      <w:pPr>
        <w:ind w:firstLine="411" w:firstLineChars="196"/>
        <w:rPr>
          <w:rFonts w:ascii="宋体" w:hAnsi="宋体" w:cs="宋体"/>
          <w:szCs w:val="21"/>
        </w:rPr>
      </w:pPr>
      <w:r>
        <w:rPr>
          <w:rFonts w:hint="eastAsia" w:ascii="宋体" w:hAnsi="宋体" w:eastAsia="宋体" w:cs="宋体"/>
          <w:szCs w:val="21"/>
        </w:rPr>
        <w:t>3.1“医院采购机构”系指深圳大学总医院招投标管理办公室；</w:t>
      </w:r>
    </w:p>
    <w:p>
      <w:pPr>
        <w:ind w:firstLine="411" w:firstLineChars="196"/>
        <w:rPr>
          <w:rFonts w:ascii="宋体" w:hAnsi="宋体" w:cs="宋体"/>
          <w:szCs w:val="21"/>
        </w:rPr>
      </w:pPr>
      <w:r>
        <w:rPr>
          <w:rFonts w:hint="eastAsia" w:ascii="宋体" w:hAnsi="宋体" w:eastAsia="宋体" w:cs="宋体"/>
          <w:szCs w:val="21"/>
        </w:rPr>
        <w:t xml:space="preserve">3.2“采购人”或“采购单位”：系指深圳大学总医院、深圳大学总医院下属单位； </w:t>
      </w:r>
    </w:p>
    <w:p>
      <w:pPr>
        <w:ind w:firstLine="411" w:firstLineChars="196"/>
        <w:rPr>
          <w:rFonts w:ascii="宋体" w:hAnsi="宋体" w:cs="宋体"/>
          <w:szCs w:val="21"/>
        </w:rPr>
      </w:pPr>
      <w:r>
        <w:rPr>
          <w:rFonts w:hint="eastAsia" w:ascii="宋体" w:hAnsi="宋体" w:eastAsia="宋体" w:cs="宋体"/>
          <w:szCs w:val="21"/>
        </w:rPr>
        <w:t>3.3“投标人”或“投标方”，即供应商，是指参加投标竞争并愿意按照招标文件要求向采购人提供货物、工程或者服务的依法成立的法人、其他组织或者自然人；</w:t>
      </w:r>
    </w:p>
    <w:p>
      <w:pPr>
        <w:ind w:firstLine="411" w:firstLineChars="196"/>
        <w:rPr>
          <w:rFonts w:ascii="宋体" w:hAnsi="宋体" w:cs="宋体"/>
          <w:szCs w:val="21"/>
        </w:rPr>
      </w:pPr>
      <w:r>
        <w:rPr>
          <w:rFonts w:hint="eastAsia" w:ascii="宋体" w:hAnsi="宋体" w:eastAsia="宋体" w:cs="宋体"/>
          <w:szCs w:val="21"/>
        </w:rPr>
        <w:t>3.4“评审委员会”和“谈判小组”是依据《深圳经济特区政府采购条例》、《深圳经济特区政府采购条例实施细则》和深圳大学总医院的有关规定组建的专门负责本次招标的评审（谈判）工作的临时性机构；</w:t>
      </w:r>
    </w:p>
    <w:p>
      <w:pPr>
        <w:ind w:firstLine="411" w:firstLineChars="196"/>
        <w:rPr>
          <w:rFonts w:ascii="宋体" w:hAnsi="宋体" w:cs="宋体"/>
          <w:szCs w:val="21"/>
        </w:rPr>
      </w:pPr>
      <w:r>
        <w:rPr>
          <w:rFonts w:hint="eastAsia" w:ascii="宋体" w:hAnsi="宋体" w:eastAsia="宋体" w:cs="宋体"/>
          <w:szCs w:val="21"/>
        </w:rPr>
        <w:t>3.5“日期”指公历日；</w:t>
      </w:r>
    </w:p>
    <w:p>
      <w:pPr>
        <w:ind w:firstLine="411" w:firstLineChars="196"/>
        <w:rPr>
          <w:rFonts w:ascii="宋体" w:hAnsi="宋体" w:cs="宋体"/>
          <w:szCs w:val="21"/>
        </w:rPr>
      </w:pPr>
      <w:r>
        <w:rPr>
          <w:rFonts w:hint="eastAsia" w:ascii="宋体" w:hAnsi="宋体" w:eastAsia="宋体" w:cs="宋体"/>
          <w:szCs w:val="21"/>
        </w:rPr>
        <w:t>3.6“时间”如未特别说明，均为北京时间；</w:t>
      </w:r>
    </w:p>
    <w:p>
      <w:pPr>
        <w:ind w:firstLine="411" w:firstLineChars="196"/>
        <w:rPr>
          <w:rFonts w:ascii="宋体" w:hAnsi="宋体" w:cs="宋体"/>
          <w:szCs w:val="21"/>
        </w:rPr>
      </w:pPr>
      <w:r>
        <w:rPr>
          <w:rFonts w:hint="eastAsia" w:ascii="宋体" w:hAnsi="宋体" w:eastAsia="宋体" w:cs="宋体"/>
          <w:szCs w:val="21"/>
        </w:rPr>
        <w:t>3.7“合同”指由本次招标所产生的合同或合约文件；</w:t>
      </w:r>
    </w:p>
    <w:p>
      <w:pPr>
        <w:ind w:firstLine="411" w:firstLineChars="196"/>
        <w:rPr>
          <w:rFonts w:ascii="宋体" w:hAnsi="宋体" w:cs="宋体"/>
          <w:szCs w:val="21"/>
        </w:rPr>
      </w:pPr>
      <w:r>
        <w:rPr>
          <w:rFonts w:hint="eastAsia" w:ascii="宋体" w:hAnsi="宋体" w:eastAsia="宋体" w:cs="宋体"/>
          <w:szCs w:val="21"/>
        </w:rPr>
        <w:t>3.8招标文件中的标题或题名仅起引导作用，而不应视为对招标文件内容的理解和解释。</w:t>
      </w:r>
    </w:p>
    <w:p>
      <w:pPr>
        <w:spacing w:line="360" w:lineRule="auto"/>
        <w:rPr>
          <w:rFonts w:ascii="宋体" w:hAnsi="宋体" w:cs="宋体"/>
          <w:sz w:val="24"/>
        </w:rPr>
      </w:pPr>
      <w:r>
        <w:rPr>
          <w:rFonts w:hint="eastAsia" w:ascii="宋体" w:hAnsi="宋体" w:eastAsia="宋体" w:cs="宋体"/>
          <w:sz w:val="24"/>
        </w:rPr>
        <w:t>4. 供应商责任</w:t>
      </w:r>
    </w:p>
    <w:p>
      <w:pPr>
        <w:ind w:firstLine="411" w:firstLineChars="196"/>
        <w:rPr>
          <w:rFonts w:ascii="宋体" w:hAnsi="宋体" w:cs="宋体"/>
          <w:szCs w:val="21"/>
        </w:rPr>
      </w:pPr>
      <w:r>
        <w:rPr>
          <w:rFonts w:hint="eastAsia" w:ascii="宋体" w:hAnsi="宋体" w:eastAsia="宋体" w:cs="宋体"/>
          <w:szCs w:val="21"/>
        </w:rPr>
        <w:t>4.1欢迎诚信、有实力和有社会责任心的供应商参与深圳大学总医院采购事务。</w:t>
      </w:r>
    </w:p>
    <w:p>
      <w:pPr>
        <w:ind w:firstLine="411" w:firstLineChars="196"/>
        <w:rPr>
          <w:rFonts w:ascii="宋体" w:hAnsi="宋体" w:cs="宋体"/>
          <w:szCs w:val="21"/>
        </w:rPr>
      </w:pPr>
      <w:r>
        <w:rPr>
          <w:rFonts w:hint="eastAsia" w:ascii="宋体" w:hAnsi="宋体" w:eastAsia="宋体" w:cs="宋体"/>
          <w:szCs w:val="21"/>
        </w:rPr>
        <w:t>4.2投标人应当遵循公平竞争的原则，不得恶意串通，不得妨碍其他投标人的竞争行为，不得损害采购人或者其他投标人的合法权益。如违反上述要求，经核实后，供应商的投标无效。</w:t>
      </w:r>
    </w:p>
    <w:p>
      <w:pPr>
        <w:spacing w:line="360" w:lineRule="auto"/>
        <w:rPr>
          <w:rFonts w:ascii="宋体" w:hAnsi="宋体" w:cs="宋体"/>
          <w:sz w:val="24"/>
        </w:rPr>
      </w:pPr>
      <w:r>
        <w:rPr>
          <w:rFonts w:hint="eastAsia" w:ascii="宋体" w:hAnsi="宋体" w:eastAsia="宋体" w:cs="宋体"/>
          <w:sz w:val="24"/>
        </w:rPr>
        <w:t>5．投标人参加深圳大学总医院采购活动的条件</w:t>
      </w:r>
    </w:p>
    <w:p>
      <w:pPr>
        <w:ind w:firstLine="411" w:firstLineChars="196"/>
        <w:rPr>
          <w:rFonts w:ascii="宋体" w:hAnsi="宋体" w:cs="宋体"/>
          <w:szCs w:val="21"/>
        </w:rPr>
      </w:pPr>
      <w:r>
        <w:rPr>
          <w:rFonts w:hint="eastAsia" w:ascii="宋体" w:hAnsi="宋体" w:eastAsia="宋体" w:cs="宋体"/>
          <w:szCs w:val="21"/>
        </w:rPr>
        <w:t>5.1投标人的资格要求</w:t>
      </w:r>
    </w:p>
    <w:p>
      <w:pPr>
        <w:ind w:firstLine="411" w:firstLineChars="196"/>
        <w:rPr>
          <w:rFonts w:ascii="宋体" w:hAnsi="宋体" w:cs="宋体"/>
          <w:szCs w:val="21"/>
        </w:rPr>
      </w:pPr>
      <w:r>
        <w:rPr>
          <w:rFonts w:hint="eastAsia" w:ascii="宋体" w:hAnsi="宋体" w:eastAsia="宋体" w:cs="宋体"/>
          <w:szCs w:val="21"/>
        </w:rPr>
        <w:t>参加本项目的投标人应具备的资格条件详见本项目招标公告中的内容。</w:t>
      </w:r>
    </w:p>
    <w:p>
      <w:pPr>
        <w:spacing w:line="360" w:lineRule="auto"/>
        <w:rPr>
          <w:rFonts w:ascii="宋体" w:hAnsi="宋体" w:cs="宋体"/>
          <w:sz w:val="24"/>
        </w:rPr>
      </w:pPr>
      <w:r>
        <w:rPr>
          <w:rFonts w:hint="eastAsia" w:ascii="宋体" w:hAnsi="宋体" w:eastAsia="宋体" w:cs="宋体"/>
          <w:sz w:val="24"/>
        </w:rPr>
        <w:t>6．联合体投标</w:t>
      </w:r>
    </w:p>
    <w:p>
      <w:pPr>
        <w:ind w:firstLine="411" w:firstLineChars="196"/>
        <w:rPr>
          <w:rFonts w:ascii="宋体" w:hAnsi="宋体" w:cs="宋体"/>
        </w:rPr>
      </w:pPr>
      <w:r>
        <w:rPr>
          <w:rFonts w:hint="eastAsia" w:ascii="宋体" w:hAnsi="宋体" w:eastAsia="宋体" w:cs="宋体"/>
        </w:rPr>
        <w:t>6.1　以下有关联合体投标的条款仅适用于允许投标人组成联合体投标的项目。</w:t>
      </w:r>
    </w:p>
    <w:p>
      <w:pPr>
        <w:ind w:firstLine="411" w:firstLineChars="196"/>
        <w:rPr>
          <w:rFonts w:ascii="宋体" w:hAnsi="宋体" w:cs="宋体"/>
        </w:rPr>
      </w:pPr>
      <w:r>
        <w:rPr>
          <w:rFonts w:hint="eastAsia" w:ascii="宋体" w:hAnsi="宋体" w:eastAsia="宋体" w:cs="宋体"/>
        </w:rPr>
        <w:t>6.2　由两个或两个以上的自然人、法人或者其他组织可以组成一个联合体，以一个供应商的身份共同投标时，应符合以下原则：</w:t>
      </w:r>
    </w:p>
    <w:p>
      <w:pPr>
        <w:ind w:firstLine="411" w:firstLineChars="196"/>
        <w:rPr>
          <w:rFonts w:ascii="宋体" w:hAnsi="宋体" w:cs="宋体"/>
        </w:rPr>
      </w:pPr>
      <w:r>
        <w:rPr>
          <w:rFonts w:hint="eastAsia" w:ascii="宋体" w:hAnsi="宋体" w:eastAsia="宋体" w:cs="宋体"/>
        </w:rPr>
        <w:t xml:space="preserve">（1）投标联合体各方参加深圳大学总医院的采购活动应当具备下列条件： </w:t>
      </w:r>
    </w:p>
    <w:p>
      <w:pPr>
        <w:ind w:left="420" w:leftChars="200" w:firstLine="411" w:firstLineChars="196"/>
        <w:rPr>
          <w:rFonts w:ascii="宋体" w:hAnsi="宋体" w:cs="宋体"/>
        </w:rPr>
      </w:pPr>
      <w:r>
        <w:rPr>
          <w:rFonts w:hint="eastAsia" w:ascii="宋体" w:hAnsi="宋体" w:eastAsia="宋体" w:cs="宋体"/>
        </w:rPr>
        <w:t xml:space="preserve">1、具有独立承担民事责任的能力； </w:t>
      </w:r>
    </w:p>
    <w:p>
      <w:pPr>
        <w:ind w:left="420" w:firstLine="411" w:firstLineChars="196"/>
        <w:rPr>
          <w:rFonts w:ascii="宋体" w:hAnsi="宋体" w:cs="宋体"/>
        </w:rPr>
      </w:pPr>
      <w:r>
        <w:rPr>
          <w:rFonts w:hint="eastAsia" w:ascii="宋体" w:hAnsi="宋体" w:eastAsia="宋体" w:cs="宋体"/>
        </w:rPr>
        <w:t xml:space="preserve">2、有良好的商业信誉和健全的财务会计制度； </w:t>
      </w:r>
    </w:p>
    <w:p>
      <w:pPr>
        <w:ind w:left="420" w:leftChars="200" w:firstLine="411" w:firstLineChars="196"/>
        <w:rPr>
          <w:rFonts w:ascii="宋体" w:hAnsi="宋体" w:cs="宋体"/>
        </w:rPr>
      </w:pPr>
      <w:r>
        <w:rPr>
          <w:rFonts w:hint="eastAsia" w:ascii="宋体" w:hAnsi="宋体" w:eastAsia="宋体" w:cs="宋体"/>
        </w:rPr>
        <w:t xml:space="preserve">3、具有履行合同所必需的设备和专业技术能力； </w:t>
      </w:r>
    </w:p>
    <w:p>
      <w:pPr>
        <w:ind w:left="420" w:leftChars="200" w:firstLine="411" w:firstLineChars="196"/>
        <w:rPr>
          <w:rFonts w:ascii="宋体" w:hAnsi="宋体" w:cs="宋体"/>
        </w:rPr>
      </w:pPr>
      <w:r>
        <w:rPr>
          <w:rFonts w:hint="eastAsia" w:ascii="宋体" w:hAnsi="宋体" w:eastAsia="宋体" w:cs="宋体"/>
        </w:rPr>
        <w:t xml:space="preserve">4、有依法缴纳税收和社会保障资金的良好记录； </w:t>
      </w:r>
    </w:p>
    <w:p>
      <w:pPr>
        <w:ind w:left="420" w:leftChars="200" w:firstLine="411" w:firstLineChars="196"/>
        <w:rPr>
          <w:rFonts w:ascii="宋体" w:hAnsi="宋体" w:cs="宋体"/>
        </w:rPr>
      </w:pPr>
      <w:r>
        <w:rPr>
          <w:rFonts w:hint="eastAsia" w:ascii="宋体" w:hAnsi="宋体" w:eastAsia="宋体" w:cs="宋体"/>
        </w:rPr>
        <w:t xml:space="preserve">5、参加采购活动前三年内，在经营活动中没有重大违法记录； </w:t>
      </w:r>
    </w:p>
    <w:p>
      <w:pPr>
        <w:ind w:left="420" w:leftChars="200" w:firstLine="411" w:firstLineChars="196"/>
        <w:rPr>
          <w:rFonts w:ascii="宋体" w:hAnsi="宋体" w:cs="宋体"/>
        </w:rPr>
      </w:pPr>
      <w:r>
        <w:rPr>
          <w:rFonts w:hint="eastAsia" w:ascii="宋体" w:hAnsi="宋体" w:eastAsia="宋体" w:cs="宋体"/>
        </w:rPr>
        <w:t xml:space="preserve">6、法律、行政法规规定的其他条件。 </w:t>
      </w:r>
    </w:p>
    <w:p>
      <w:pPr>
        <w:ind w:firstLine="411" w:firstLineChars="196"/>
        <w:rPr>
          <w:rFonts w:ascii="宋体" w:hAnsi="宋体" w:cs="宋体"/>
        </w:rPr>
      </w:pPr>
      <w:r>
        <w:rPr>
          <w:rFonts w:hint="eastAsia" w:ascii="宋体" w:hAnsi="宋体" w:eastAsia="宋体" w:cs="宋体"/>
        </w:rPr>
        <w:t>（2）投标联合体各方中至少应当有一方符合采购人规定的特定条件。联合体中有同类资质的供应商按照联合体分工承担相同工作的，应当按照资质等级较低的供应商确定资质等级。联合体各方的不同资质可优势互补。</w:t>
      </w:r>
    </w:p>
    <w:p>
      <w:pPr>
        <w:ind w:firstLine="411" w:firstLineChars="196"/>
        <w:rPr>
          <w:rFonts w:ascii="宋体" w:hAnsi="宋体" w:cs="宋体"/>
        </w:rPr>
      </w:pPr>
      <w:r>
        <w:rPr>
          <w:rFonts w:hint="eastAsia" w:ascii="宋体" w:hAnsi="宋体" w:eastAsia="宋体" w:cs="宋体"/>
        </w:rPr>
        <w:t>（3）投标人的投标文件及中标后签署的合同协议对联合体各方均具法律约束力；</w:t>
      </w:r>
    </w:p>
    <w:p>
      <w:pPr>
        <w:ind w:firstLine="411" w:firstLineChars="196"/>
        <w:rPr>
          <w:rFonts w:ascii="宋体" w:hAnsi="宋体" w:cs="宋体"/>
        </w:rPr>
      </w:pPr>
      <w:r>
        <w:rPr>
          <w:rFonts w:hint="eastAsia" w:ascii="宋体" w:hAnsi="宋体" w:eastAsia="宋体" w:cs="宋体"/>
        </w:rPr>
        <w:t>（4）联合体各方应当签订共同投标协议，明确约定各方拟承担的工作和责任，并将该共同投标协议随投标文件一并递交给医院采购机构；</w:t>
      </w:r>
    </w:p>
    <w:p>
      <w:pPr>
        <w:ind w:firstLine="411" w:firstLineChars="196"/>
        <w:rPr>
          <w:rFonts w:ascii="宋体" w:hAnsi="宋体" w:cs="宋体"/>
        </w:rPr>
      </w:pPr>
      <w:r>
        <w:rPr>
          <w:rFonts w:hint="eastAsia" w:ascii="宋体" w:hAnsi="宋体" w:eastAsia="宋体" w:cs="宋体"/>
        </w:rPr>
        <w:t>（5）是否允许联合体参加投标，应当由采购人和采购代理机构根据项目的实际情况和潜在供应商的数量自主决定，如果决定接受联合体投标则应当在采购公告中明示。</w:t>
      </w:r>
    </w:p>
    <w:p>
      <w:pPr>
        <w:ind w:firstLine="411" w:firstLineChars="196"/>
        <w:rPr>
          <w:rFonts w:ascii="宋体" w:hAnsi="宋体" w:cs="宋体"/>
        </w:rPr>
      </w:pPr>
      <w:r>
        <w:rPr>
          <w:rFonts w:hint="eastAsia" w:ascii="宋体" w:hAnsi="宋体" w:eastAsia="宋体" w:cs="宋体"/>
        </w:rPr>
        <w:t>（6）联合体的各方应当共同推荐一联合体投标授权代表方，由联合体各方提交一份授权书，证明其有资格代表联合体各方签署投标文件，该授权书作为投标文件的组成部分一并提交给医院采购机构；</w:t>
      </w:r>
    </w:p>
    <w:p>
      <w:pPr>
        <w:ind w:firstLine="411" w:firstLineChars="196"/>
        <w:rPr>
          <w:rFonts w:ascii="宋体" w:hAnsi="宋体" w:cs="宋体"/>
        </w:rPr>
      </w:pPr>
      <w:r>
        <w:rPr>
          <w:rFonts w:hint="eastAsia" w:ascii="宋体" w:hAnsi="宋体" w:eastAsia="宋体" w:cs="宋体"/>
        </w:rPr>
        <w:t>（7）联合体中标后，联合体各方应当共同与采购人签订合同，就中标项目向采购人承担连带责任；</w:t>
      </w:r>
    </w:p>
    <w:p>
      <w:pPr>
        <w:ind w:firstLine="411" w:firstLineChars="196"/>
        <w:rPr>
          <w:rFonts w:ascii="宋体" w:hAnsi="宋体" w:cs="宋体"/>
        </w:rPr>
      </w:pPr>
      <w:r>
        <w:rPr>
          <w:rFonts w:hint="eastAsia" w:ascii="宋体" w:hAnsi="宋体" w:eastAsia="宋体" w:cs="宋体"/>
        </w:rPr>
        <w:t>（8）以联合体形式参加本项目采购活动的，联合体各方不得再单独参加或者与其他供应商另外组成联合体参加同一合同项下的采购活动，出现上述情况者，其投标和与此有关联合体、总包单位的投标将被拒绝；</w:t>
      </w:r>
    </w:p>
    <w:p>
      <w:pPr>
        <w:ind w:firstLine="411" w:firstLineChars="196"/>
        <w:rPr>
          <w:rFonts w:ascii="宋体" w:hAnsi="宋体" w:cs="宋体"/>
        </w:rPr>
      </w:pPr>
      <w:r>
        <w:rPr>
          <w:rFonts w:hint="eastAsia" w:ascii="宋体" w:hAnsi="宋体" w:eastAsia="宋体" w:cs="宋体"/>
        </w:rPr>
        <w:t>（9）本通用条款中“投标人”一词亦指联合体各方，专用条款另有规定或说明的除外。</w:t>
      </w:r>
    </w:p>
    <w:p>
      <w:pPr>
        <w:spacing w:line="360" w:lineRule="auto"/>
        <w:rPr>
          <w:rFonts w:ascii="宋体" w:hAnsi="宋体" w:cs="宋体"/>
          <w:sz w:val="24"/>
        </w:rPr>
      </w:pPr>
      <w:r>
        <w:rPr>
          <w:rFonts w:hint="eastAsia" w:ascii="宋体" w:hAnsi="宋体" w:eastAsia="宋体" w:cs="宋体"/>
          <w:sz w:val="24"/>
        </w:rPr>
        <w:t>7.本项目若涉及采购货物，则合格的货物及相应服务应满足以下要求：</w:t>
      </w:r>
    </w:p>
    <w:p>
      <w:pPr>
        <w:ind w:firstLine="411" w:firstLineChars="196"/>
        <w:rPr>
          <w:rFonts w:ascii="宋体" w:hAnsi="宋体" w:cs="宋体"/>
        </w:rPr>
      </w:pPr>
      <w:r>
        <w:rPr>
          <w:rFonts w:hint="eastAsia" w:ascii="宋体" w:hAnsi="宋体" w:eastAsia="宋体" w:cs="宋体"/>
        </w:rPr>
        <w:t>7.1  必须是全新、未使用过的原装合格正品（包括零部件），如安装或配置了软件的，须为正版软件。</w:t>
      </w:r>
    </w:p>
    <w:p>
      <w:pPr>
        <w:ind w:firstLine="411" w:firstLineChars="196"/>
        <w:rPr>
          <w:rFonts w:ascii="宋体" w:hAnsi="宋体" w:cs="宋体"/>
        </w:rPr>
      </w:pPr>
      <w:r>
        <w:rPr>
          <w:rFonts w:hint="eastAsia" w:ascii="宋体" w:hAnsi="宋体" w:eastAsia="宋体" w:cs="宋体"/>
        </w:rPr>
        <w:t>7.2  国产的货物及其有关服务必须符合中华人民共和国的设计、制造生产标准及行业标准。招标公告有其他要求的，亦应符合其要求。</w:t>
      </w:r>
    </w:p>
    <w:p>
      <w:pPr>
        <w:ind w:firstLine="411" w:firstLineChars="196"/>
        <w:rPr>
          <w:rFonts w:ascii="宋体" w:hAnsi="宋体" w:cs="宋体"/>
        </w:rPr>
      </w:pPr>
      <w:r>
        <w:rPr>
          <w:rFonts w:hint="eastAsia" w:ascii="宋体" w:hAnsi="宋体" w:eastAsia="宋体" w:cs="宋体"/>
        </w:rPr>
        <w:t>7.3  进口货物及其有关服务必须符合原产地和中华人民共和国的设计和制造生产标准及行业标准。进口的货物必须具有合法的进口手续和途径，并通过中华人民共和国商检部门检验。招标公告有其他要求的，亦应符合其要求。</w:t>
      </w:r>
    </w:p>
    <w:p>
      <w:pPr>
        <w:ind w:firstLine="411" w:firstLineChars="196"/>
        <w:rPr>
          <w:rFonts w:ascii="宋体" w:hAnsi="宋体" w:cs="宋体"/>
        </w:rPr>
      </w:pPr>
      <w:r>
        <w:rPr>
          <w:rFonts w:hint="eastAsia" w:ascii="宋体" w:hAnsi="宋体" w:eastAsia="宋体" w:cs="宋体"/>
        </w:rPr>
        <w:t>7.4  投标人应保证，其所提供的货物在提供给采购人前具有完全的所有权，采购人在中华人民共和国使用该货物或货物的任何一部分时，不会产生因第三方提出的包括但不限于侵犯其专利权、商标权、工业设计权等知识产权和侵犯其所有权、抵押权等物权及其他权利而引发的纠纷。如有纠纷，投标人应承担全部责任。</w:t>
      </w:r>
    </w:p>
    <w:p>
      <w:pPr>
        <w:ind w:firstLine="411" w:firstLineChars="196"/>
        <w:rPr>
          <w:rFonts w:ascii="宋体" w:hAnsi="宋体" w:cs="宋体"/>
        </w:rPr>
      </w:pPr>
      <w:r>
        <w:rPr>
          <w:rFonts w:hint="eastAsia" w:ascii="宋体" w:hAnsi="宋体" w:eastAsia="宋体" w:cs="宋体"/>
        </w:rPr>
        <w:t>7.5  投标人应保证，其所提供的货物应具有行政主管部门颁发的资质证书或国家质量监督部门的产品《检验报告》。设备到货验收时，还必须提供设备的产品合格证、质量保证文件。若中标后，除非另有约定，投标人必须按合同规定完成设备的安装，并达到验收标准。</w:t>
      </w:r>
    </w:p>
    <w:p>
      <w:pPr>
        <w:ind w:firstLine="411" w:firstLineChars="196"/>
        <w:rPr>
          <w:rFonts w:ascii="宋体" w:hAnsi="宋体" w:cs="宋体"/>
        </w:rPr>
      </w:pPr>
      <w:r>
        <w:rPr>
          <w:rFonts w:hint="eastAsia" w:ascii="宋体" w:hAnsi="宋体" w:eastAsia="宋体" w:cs="宋体"/>
        </w:rPr>
        <w:t>7.6  对工期的要求：投标人在投标时对其所投项目应提交货进度、交货计划等，在合同规定的时间内完工验收。</w:t>
      </w:r>
    </w:p>
    <w:p>
      <w:pPr>
        <w:ind w:firstLine="411" w:firstLineChars="196"/>
        <w:rPr>
          <w:rFonts w:ascii="宋体" w:hAnsi="宋体" w:cs="宋体"/>
        </w:rPr>
      </w:pPr>
      <w:r>
        <w:rPr>
          <w:rFonts w:hint="eastAsia" w:ascii="宋体" w:hAnsi="宋体" w:eastAsia="宋体" w:cs="宋体"/>
        </w:rPr>
        <w:t>7.7  投标人必须承担的设备运输、安装调试、验收检测和提供设备操作说明书、图纸等其他相关及类似的义务。</w:t>
      </w:r>
    </w:p>
    <w:p>
      <w:pPr>
        <w:spacing w:line="360" w:lineRule="auto"/>
        <w:rPr>
          <w:rFonts w:ascii="宋体" w:hAnsi="宋体" w:cs="宋体"/>
          <w:sz w:val="24"/>
        </w:rPr>
      </w:pPr>
      <w:r>
        <w:rPr>
          <w:rFonts w:hint="eastAsia" w:ascii="宋体" w:hAnsi="宋体" w:eastAsia="宋体" w:cs="宋体"/>
          <w:sz w:val="24"/>
        </w:rPr>
        <w:t>8．投标费用</w:t>
      </w:r>
    </w:p>
    <w:p>
      <w:pPr>
        <w:ind w:firstLine="411" w:firstLineChars="196"/>
        <w:rPr>
          <w:rFonts w:ascii="宋体" w:hAnsi="宋体" w:cs="宋体"/>
          <w:szCs w:val="21"/>
        </w:rPr>
      </w:pPr>
      <w:r>
        <w:rPr>
          <w:rFonts w:hint="eastAsia" w:ascii="宋体" w:hAnsi="宋体" w:eastAsia="宋体" w:cs="宋体"/>
          <w:szCs w:val="21"/>
        </w:rPr>
        <w:t>不论投标结果如何，投标人应承担其编制投标文件与递交投标文件所涉及的一切费用。</w:t>
      </w:r>
    </w:p>
    <w:p>
      <w:pPr>
        <w:spacing w:line="360" w:lineRule="auto"/>
        <w:rPr>
          <w:rFonts w:ascii="宋体" w:hAnsi="宋体" w:cs="宋体"/>
          <w:sz w:val="24"/>
        </w:rPr>
      </w:pPr>
      <w:r>
        <w:rPr>
          <w:rFonts w:hint="eastAsia" w:ascii="宋体" w:hAnsi="宋体" w:eastAsia="宋体" w:cs="宋体"/>
          <w:sz w:val="24"/>
        </w:rPr>
        <w:t>9．踏勘现场</w:t>
      </w:r>
    </w:p>
    <w:p>
      <w:pPr>
        <w:ind w:firstLine="411" w:firstLineChars="196"/>
        <w:rPr>
          <w:rFonts w:ascii="宋体" w:hAnsi="宋体" w:cs="宋体"/>
        </w:rPr>
      </w:pPr>
      <w:r>
        <w:rPr>
          <w:rFonts w:hint="eastAsia" w:ascii="宋体" w:hAnsi="宋体" w:eastAsia="宋体" w:cs="宋体"/>
        </w:rPr>
        <w:t>9.1如有需要（详见专用条款），医院采购机构或采购人将组织投标人对项目现场及周围环境进行踏勘，以便投标人获取有关编制投标文件和签署合同所需的资料。踏勘现场所发生的费用由投标人自行承担。投标人应按招标公告所约定的时间、地点踏勘现场。</w:t>
      </w:r>
    </w:p>
    <w:p>
      <w:pPr>
        <w:ind w:firstLine="411" w:firstLineChars="196"/>
        <w:rPr>
          <w:rFonts w:ascii="宋体" w:hAnsi="宋体" w:cs="宋体"/>
        </w:rPr>
      </w:pPr>
      <w:r>
        <w:rPr>
          <w:rFonts w:hint="eastAsia" w:ascii="宋体" w:hAnsi="宋体" w:eastAsia="宋体" w:cs="宋体"/>
        </w:rPr>
        <w:t>9.2投标人及其人员经过采购人的允许，可以进入采购人的项目现场踏勘。若招标文件要求投标人于统一时间地点踏勘现场的，投标人应当按时前往。</w:t>
      </w:r>
    </w:p>
    <w:p>
      <w:pPr>
        <w:ind w:firstLine="411" w:firstLineChars="196"/>
        <w:rPr>
          <w:rFonts w:ascii="宋体" w:hAnsi="宋体" w:cs="宋体"/>
        </w:rPr>
      </w:pPr>
      <w:r>
        <w:rPr>
          <w:rFonts w:hint="eastAsia" w:ascii="宋体" w:hAnsi="宋体" w:eastAsia="宋体" w:cs="宋体"/>
        </w:rPr>
        <w:t>9.3采购人必须通过医院采购机构向投标人提供有关现场的资料和数据。</w:t>
      </w:r>
    </w:p>
    <w:p>
      <w:pPr>
        <w:ind w:firstLine="411" w:firstLineChars="196"/>
        <w:rPr>
          <w:rFonts w:ascii="宋体" w:hAnsi="宋体" w:cs="宋体"/>
        </w:rPr>
      </w:pPr>
      <w:r>
        <w:rPr>
          <w:rFonts w:hint="eastAsia" w:ascii="宋体" w:hAnsi="宋体" w:eastAsia="宋体" w:cs="宋体"/>
        </w:rPr>
        <w:t>9.4任何人或任何组织在踏勘现场时向投标人提交的任何书面资料或口头承诺，未经医院采购机构在网上发布或书面通知，均作无效处理。</w:t>
      </w:r>
    </w:p>
    <w:p>
      <w:pPr>
        <w:spacing w:line="360" w:lineRule="auto"/>
        <w:rPr>
          <w:rFonts w:ascii="宋体" w:hAnsi="宋体" w:cs="宋体"/>
          <w:sz w:val="24"/>
        </w:rPr>
      </w:pPr>
      <w:r>
        <w:rPr>
          <w:rFonts w:hint="eastAsia" w:ascii="宋体" w:hAnsi="宋体" w:eastAsia="宋体" w:cs="宋体"/>
          <w:sz w:val="24"/>
        </w:rPr>
        <w:t>10．招标答疑</w:t>
      </w:r>
    </w:p>
    <w:p>
      <w:pPr>
        <w:ind w:firstLine="411" w:firstLineChars="196"/>
        <w:rPr>
          <w:rFonts w:ascii="宋体" w:hAnsi="宋体" w:cs="宋体"/>
          <w:szCs w:val="21"/>
        </w:rPr>
      </w:pPr>
      <w:r>
        <w:rPr>
          <w:rFonts w:hint="eastAsia" w:ascii="宋体" w:hAnsi="宋体" w:eastAsia="宋体" w:cs="宋体"/>
          <w:szCs w:val="21"/>
        </w:rPr>
        <w:t>10.1招标答疑的目的是澄清、解答投标人在查阅招标文件后或现场踏勘中可能提出的与投标有关的疑问或询问。</w:t>
      </w:r>
    </w:p>
    <w:p>
      <w:pPr>
        <w:ind w:firstLine="411" w:firstLineChars="196"/>
        <w:rPr>
          <w:rFonts w:ascii="宋体" w:hAnsi="宋体" w:cs="宋体"/>
          <w:szCs w:val="21"/>
        </w:rPr>
      </w:pPr>
      <w:r>
        <w:rPr>
          <w:rFonts w:hint="eastAsia" w:ascii="宋体" w:hAnsi="宋体" w:eastAsia="宋体" w:cs="宋体"/>
          <w:szCs w:val="21"/>
        </w:rPr>
        <w:t>10.2投标人如对招标文件内容有疑问，必须在招标文件规定的答疑截止时间前以书面形式提交给医院采购机构。</w:t>
      </w:r>
    </w:p>
    <w:p>
      <w:pPr>
        <w:ind w:firstLine="411" w:firstLineChars="196"/>
        <w:rPr>
          <w:rFonts w:ascii="宋体" w:hAnsi="宋体" w:cs="宋体"/>
          <w:szCs w:val="21"/>
        </w:rPr>
      </w:pPr>
      <w:r>
        <w:rPr>
          <w:rFonts w:hint="eastAsia" w:ascii="宋体" w:hAnsi="宋体" w:eastAsia="宋体" w:cs="宋体"/>
          <w:szCs w:val="21"/>
        </w:rPr>
        <w:t>10.3医院采购机构对疑问所做出的澄清和解答，以书面答复（包括网站发布信息）为准。答疑纪要的有效性规定按照本通用条款第13.3、13.4款规定执行。</w:t>
      </w:r>
    </w:p>
    <w:p>
      <w:pPr>
        <w:ind w:firstLine="411" w:firstLineChars="196"/>
        <w:rPr>
          <w:rFonts w:ascii="宋体" w:hAnsi="宋体" w:cs="宋体"/>
          <w:szCs w:val="21"/>
        </w:rPr>
      </w:pPr>
      <w:r>
        <w:rPr>
          <w:rFonts w:hint="eastAsia" w:ascii="宋体" w:hAnsi="宋体" w:eastAsia="宋体" w:cs="宋体"/>
          <w:szCs w:val="21"/>
        </w:rPr>
        <w:t>10.4如医院采购机构认为有必要组织现场答疑会，投标人应按照招标文件规定的时间或医院采购机构另行书面通知（包括网站发布的通知）的时间和地点，参与现场答疑会。</w:t>
      </w:r>
    </w:p>
    <w:p>
      <w:pPr>
        <w:ind w:firstLine="411" w:firstLineChars="196"/>
        <w:rPr>
          <w:rFonts w:ascii="宋体" w:hAnsi="宋体" w:cs="宋体"/>
          <w:szCs w:val="21"/>
        </w:rPr>
      </w:pPr>
      <w:r>
        <w:rPr>
          <w:rFonts w:hint="eastAsia" w:ascii="宋体" w:hAnsi="宋体" w:eastAsia="宋体" w:cs="宋体"/>
          <w:szCs w:val="21"/>
        </w:rPr>
        <w:t>10.5未参与招标答疑不作为否定投标人资格的理由。</w:t>
      </w:r>
    </w:p>
    <w:p>
      <w:pPr>
        <w:ind w:firstLine="411" w:firstLineChars="196"/>
        <w:rPr>
          <w:rFonts w:ascii="宋体" w:hAnsi="宋体" w:cs="宋体"/>
        </w:rPr>
      </w:pPr>
    </w:p>
    <w:p>
      <w:pPr>
        <w:pStyle w:val="8"/>
        <w:numPr>
          <w:ilvl w:val="0"/>
          <w:numId w:val="20"/>
        </w:numPr>
        <w:tabs>
          <w:tab w:val="left" w:pos="3960"/>
          <w:tab w:val="clear" w:pos="720"/>
        </w:tabs>
        <w:ind w:left="3960"/>
        <w:rPr>
          <w:rFonts w:ascii="宋体" w:hAnsi="宋体" w:eastAsia="宋体" w:cs="宋体"/>
          <w:bCs/>
          <w:szCs w:val="24"/>
        </w:rPr>
      </w:pPr>
      <w:r>
        <w:rPr>
          <w:rFonts w:hint="eastAsia" w:ascii="宋体" w:hAnsi="宋体" w:eastAsia="宋体" w:cs="宋体"/>
          <w:szCs w:val="24"/>
        </w:rPr>
        <w:t>招标文件</w:t>
      </w:r>
    </w:p>
    <w:p>
      <w:pPr>
        <w:spacing w:line="360" w:lineRule="auto"/>
        <w:rPr>
          <w:rFonts w:ascii="宋体" w:hAnsi="宋体" w:cs="宋体"/>
          <w:sz w:val="24"/>
        </w:rPr>
      </w:pPr>
      <w:r>
        <w:rPr>
          <w:rFonts w:hint="eastAsia" w:ascii="宋体" w:hAnsi="宋体" w:eastAsia="宋体" w:cs="宋体"/>
          <w:sz w:val="24"/>
        </w:rPr>
        <w:t>11．招标文件的编制与组成</w:t>
      </w:r>
    </w:p>
    <w:p>
      <w:pPr>
        <w:snapToGrid w:val="0"/>
        <w:ind w:firstLine="420" w:firstLineChars="200"/>
        <w:rPr>
          <w:rFonts w:ascii="宋体" w:hAnsi="宋体" w:cs="宋体"/>
          <w:szCs w:val="21"/>
        </w:rPr>
      </w:pPr>
      <w:r>
        <w:rPr>
          <w:rFonts w:hint="eastAsia" w:ascii="宋体" w:hAnsi="宋体" w:eastAsia="宋体" w:cs="宋体"/>
          <w:szCs w:val="21"/>
        </w:rPr>
        <w:t>11.1招标文件除以下内容外，医院采购机构在招标（或谈判）期间发出的答疑、澄清或修改等相关公告或通知内容，均是招标文件的组成部分，对投标人起约束作用；</w:t>
      </w:r>
    </w:p>
    <w:p>
      <w:pPr>
        <w:ind w:firstLine="411" w:firstLineChars="196"/>
        <w:rPr>
          <w:rFonts w:ascii="宋体" w:hAnsi="宋体" w:cs="宋体"/>
          <w:szCs w:val="21"/>
        </w:rPr>
      </w:pPr>
      <w:r>
        <w:rPr>
          <w:rFonts w:hint="eastAsia" w:ascii="宋体" w:hAnsi="宋体" w:eastAsia="宋体" w:cs="宋体"/>
          <w:szCs w:val="21"/>
        </w:rPr>
        <w:t>招标文件包括下列内容：</w:t>
      </w:r>
    </w:p>
    <w:p>
      <w:pPr>
        <w:ind w:left="420" w:leftChars="200" w:firstLine="413" w:firstLineChars="196"/>
        <w:rPr>
          <w:rFonts w:ascii="宋体" w:hAnsi="宋体" w:cs="宋体"/>
          <w:b/>
          <w:szCs w:val="21"/>
        </w:rPr>
      </w:pPr>
      <w:r>
        <w:rPr>
          <w:rFonts w:hint="eastAsia" w:ascii="宋体" w:hAnsi="宋体" w:eastAsia="宋体" w:cs="宋体"/>
          <w:b/>
          <w:szCs w:val="21"/>
        </w:rPr>
        <w:t>第一册  专用条款</w:t>
      </w:r>
    </w:p>
    <w:p>
      <w:pPr>
        <w:ind w:left="1079" w:leftChars="514"/>
        <w:rPr>
          <w:rFonts w:ascii="宋体" w:hAnsi="宋体" w:cs="宋体"/>
          <w:b/>
          <w:szCs w:val="21"/>
        </w:rPr>
      </w:pPr>
      <w:r>
        <w:rPr>
          <w:rFonts w:hint="eastAsia" w:ascii="宋体" w:hAnsi="宋体" w:eastAsia="宋体" w:cs="宋体"/>
          <w:b/>
          <w:szCs w:val="21"/>
        </w:rPr>
        <w:t>关键信息</w:t>
      </w:r>
    </w:p>
    <w:p>
      <w:pPr>
        <w:ind w:left="630" w:leftChars="300" w:firstLine="411" w:firstLineChars="196"/>
        <w:rPr>
          <w:rFonts w:ascii="宋体" w:hAnsi="宋体" w:cs="宋体"/>
          <w:szCs w:val="21"/>
        </w:rPr>
      </w:pPr>
      <w:r>
        <w:rPr>
          <w:rFonts w:hint="eastAsia" w:ascii="宋体" w:hAnsi="宋体" w:eastAsia="宋体" w:cs="宋体"/>
          <w:szCs w:val="21"/>
        </w:rPr>
        <w:t>第一章  招标公告</w:t>
      </w:r>
    </w:p>
    <w:p>
      <w:pPr>
        <w:ind w:left="630" w:leftChars="300" w:firstLine="411" w:firstLineChars="196"/>
        <w:rPr>
          <w:rFonts w:ascii="宋体" w:hAnsi="宋体" w:cs="宋体"/>
          <w:szCs w:val="21"/>
        </w:rPr>
      </w:pPr>
      <w:r>
        <w:rPr>
          <w:rFonts w:hint="eastAsia" w:ascii="宋体" w:hAnsi="宋体" w:eastAsia="宋体" w:cs="宋体"/>
          <w:szCs w:val="21"/>
        </w:rPr>
        <w:t>第二章  招标项目需求</w:t>
      </w:r>
    </w:p>
    <w:p>
      <w:pPr>
        <w:ind w:left="630" w:leftChars="300" w:firstLine="411" w:firstLineChars="196"/>
        <w:rPr>
          <w:rFonts w:ascii="宋体" w:hAnsi="宋体" w:cs="宋体"/>
          <w:szCs w:val="21"/>
        </w:rPr>
      </w:pPr>
      <w:r>
        <w:rPr>
          <w:rFonts w:hint="eastAsia" w:ascii="宋体" w:hAnsi="宋体" w:eastAsia="宋体" w:cs="宋体"/>
          <w:szCs w:val="21"/>
        </w:rPr>
        <w:t>第三章  投标文件格式</w:t>
      </w:r>
    </w:p>
    <w:p>
      <w:pPr>
        <w:ind w:left="630" w:leftChars="300" w:firstLine="411" w:firstLineChars="196"/>
        <w:rPr>
          <w:rFonts w:ascii="宋体" w:hAnsi="宋体" w:cs="宋体"/>
          <w:szCs w:val="21"/>
        </w:rPr>
      </w:pPr>
      <w:r>
        <w:rPr>
          <w:rFonts w:hint="eastAsia" w:ascii="宋体" w:hAnsi="宋体" w:eastAsia="宋体" w:cs="宋体"/>
          <w:szCs w:val="21"/>
        </w:rPr>
        <w:t>第四章  合同及履约情况反馈表格式</w:t>
      </w:r>
    </w:p>
    <w:p>
      <w:pPr>
        <w:ind w:left="420" w:leftChars="200" w:firstLine="413" w:firstLineChars="196"/>
        <w:rPr>
          <w:rFonts w:ascii="宋体" w:hAnsi="宋体" w:cs="宋体"/>
          <w:b/>
          <w:szCs w:val="21"/>
        </w:rPr>
      </w:pPr>
      <w:r>
        <w:rPr>
          <w:rFonts w:hint="eastAsia" w:ascii="宋体" w:hAnsi="宋体" w:eastAsia="宋体" w:cs="宋体"/>
          <w:b/>
          <w:szCs w:val="21"/>
        </w:rPr>
        <w:t>第二册  通用条款</w:t>
      </w:r>
    </w:p>
    <w:p>
      <w:pPr>
        <w:numPr>
          <w:ilvl w:val="1"/>
          <w:numId w:val="0"/>
        </w:numPr>
        <w:tabs>
          <w:tab w:val="left" w:pos="360"/>
        </w:tabs>
        <w:ind w:firstLine="1079" w:firstLineChars="514"/>
        <w:rPr>
          <w:rFonts w:ascii="宋体" w:hAnsi="宋体" w:cs="宋体"/>
          <w:szCs w:val="21"/>
        </w:rPr>
      </w:pPr>
      <w:r>
        <w:rPr>
          <w:rFonts w:hint="eastAsia" w:ascii="宋体" w:hAnsi="宋体" w:eastAsia="宋体" w:cs="宋体"/>
          <w:szCs w:val="21"/>
        </w:rPr>
        <w:t>第一章  总则</w:t>
      </w:r>
    </w:p>
    <w:p>
      <w:pPr>
        <w:numPr>
          <w:ilvl w:val="1"/>
          <w:numId w:val="0"/>
        </w:numPr>
        <w:tabs>
          <w:tab w:val="left" w:pos="360"/>
        </w:tabs>
        <w:ind w:firstLine="1079" w:firstLineChars="514"/>
        <w:rPr>
          <w:rFonts w:ascii="宋体" w:hAnsi="宋体" w:cs="宋体"/>
          <w:szCs w:val="21"/>
        </w:rPr>
      </w:pPr>
      <w:r>
        <w:rPr>
          <w:rFonts w:hint="eastAsia" w:ascii="宋体" w:hAnsi="宋体" w:eastAsia="宋体" w:cs="宋体"/>
          <w:szCs w:val="21"/>
        </w:rPr>
        <w:t>第二章  招标文件</w:t>
      </w:r>
    </w:p>
    <w:p>
      <w:pPr>
        <w:numPr>
          <w:ilvl w:val="1"/>
          <w:numId w:val="0"/>
        </w:numPr>
        <w:tabs>
          <w:tab w:val="left" w:pos="360"/>
        </w:tabs>
        <w:ind w:firstLine="1079" w:firstLineChars="514"/>
        <w:rPr>
          <w:rFonts w:ascii="宋体" w:hAnsi="宋体" w:cs="宋体"/>
          <w:szCs w:val="21"/>
        </w:rPr>
      </w:pPr>
      <w:r>
        <w:rPr>
          <w:rFonts w:hint="eastAsia" w:ascii="宋体" w:hAnsi="宋体" w:eastAsia="宋体" w:cs="宋体"/>
          <w:szCs w:val="21"/>
        </w:rPr>
        <w:t>第三章  投标文件的编制</w:t>
      </w:r>
    </w:p>
    <w:p>
      <w:pPr>
        <w:numPr>
          <w:ilvl w:val="1"/>
          <w:numId w:val="0"/>
        </w:numPr>
        <w:tabs>
          <w:tab w:val="left" w:pos="360"/>
        </w:tabs>
        <w:ind w:firstLine="1079" w:firstLineChars="514"/>
        <w:rPr>
          <w:rFonts w:ascii="宋体" w:hAnsi="宋体" w:cs="宋体"/>
          <w:szCs w:val="21"/>
        </w:rPr>
      </w:pPr>
      <w:r>
        <w:rPr>
          <w:rFonts w:hint="eastAsia" w:ascii="宋体" w:hAnsi="宋体" w:eastAsia="宋体" w:cs="宋体"/>
          <w:szCs w:val="21"/>
        </w:rPr>
        <w:t>第四章  投标文件的递交</w:t>
      </w:r>
    </w:p>
    <w:p>
      <w:pPr>
        <w:numPr>
          <w:ilvl w:val="1"/>
          <w:numId w:val="0"/>
        </w:numPr>
        <w:tabs>
          <w:tab w:val="left" w:pos="360"/>
        </w:tabs>
        <w:ind w:firstLine="1079" w:firstLineChars="514"/>
        <w:rPr>
          <w:rFonts w:ascii="宋体" w:hAnsi="宋体" w:cs="宋体"/>
          <w:szCs w:val="21"/>
        </w:rPr>
      </w:pPr>
      <w:r>
        <w:rPr>
          <w:rFonts w:hint="eastAsia" w:ascii="宋体" w:hAnsi="宋体" w:eastAsia="宋体" w:cs="宋体"/>
          <w:szCs w:val="21"/>
        </w:rPr>
        <w:t>第五章  开标</w:t>
      </w:r>
    </w:p>
    <w:p>
      <w:pPr>
        <w:numPr>
          <w:ilvl w:val="1"/>
          <w:numId w:val="0"/>
        </w:numPr>
        <w:tabs>
          <w:tab w:val="left" w:pos="360"/>
        </w:tabs>
        <w:ind w:firstLine="1079" w:firstLineChars="514"/>
        <w:rPr>
          <w:rFonts w:ascii="宋体" w:hAnsi="宋体" w:cs="宋体"/>
          <w:szCs w:val="21"/>
        </w:rPr>
      </w:pPr>
      <w:r>
        <w:rPr>
          <w:rFonts w:hint="eastAsia" w:ascii="宋体" w:hAnsi="宋体" w:eastAsia="宋体" w:cs="宋体"/>
          <w:szCs w:val="21"/>
        </w:rPr>
        <w:t>第六章  评标要求</w:t>
      </w:r>
    </w:p>
    <w:p>
      <w:pPr>
        <w:numPr>
          <w:ilvl w:val="1"/>
          <w:numId w:val="0"/>
        </w:numPr>
        <w:tabs>
          <w:tab w:val="left" w:pos="360"/>
        </w:tabs>
        <w:ind w:firstLine="1079" w:firstLineChars="514"/>
        <w:rPr>
          <w:rFonts w:ascii="宋体" w:hAnsi="宋体" w:cs="宋体"/>
          <w:szCs w:val="21"/>
        </w:rPr>
      </w:pPr>
      <w:r>
        <w:rPr>
          <w:rFonts w:hint="eastAsia" w:ascii="宋体" w:hAnsi="宋体" w:eastAsia="宋体" w:cs="宋体"/>
          <w:szCs w:val="21"/>
        </w:rPr>
        <w:t>第七章  评标程序及评标方法</w:t>
      </w:r>
    </w:p>
    <w:p>
      <w:pPr>
        <w:numPr>
          <w:ilvl w:val="1"/>
          <w:numId w:val="0"/>
        </w:numPr>
        <w:tabs>
          <w:tab w:val="left" w:pos="360"/>
        </w:tabs>
        <w:ind w:firstLine="1079" w:firstLineChars="514"/>
        <w:rPr>
          <w:rFonts w:ascii="宋体" w:hAnsi="宋体" w:cs="宋体"/>
          <w:szCs w:val="21"/>
        </w:rPr>
      </w:pPr>
      <w:r>
        <w:rPr>
          <w:rFonts w:hint="eastAsia" w:ascii="宋体" w:hAnsi="宋体" w:eastAsia="宋体" w:cs="宋体"/>
          <w:szCs w:val="21"/>
        </w:rPr>
        <w:t>第八章  定标及公示</w:t>
      </w:r>
    </w:p>
    <w:p>
      <w:pPr>
        <w:numPr>
          <w:ilvl w:val="1"/>
          <w:numId w:val="0"/>
        </w:numPr>
        <w:tabs>
          <w:tab w:val="left" w:pos="360"/>
        </w:tabs>
        <w:ind w:firstLine="1079" w:firstLineChars="514"/>
        <w:rPr>
          <w:rFonts w:ascii="宋体" w:hAnsi="宋体" w:cs="宋体"/>
          <w:szCs w:val="21"/>
        </w:rPr>
      </w:pPr>
      <w:r>
        <w:rPr>
          <w:rFonts w:hint="eastAsia" w:ascii="宋体" w:hAnsi="宋体" w:eastAsia="宋体" w:cs="宋体"/>
          <w:szCs w:val="21"/>
        </w:rPr>
        <w:t>第九章  公开招标失败的后续处理</w:t>
      </w:r>
    </w:p>
    <w:p>
      <w:pPr>
        <w:numPr>
          <w:ilvl w:val="1"/>
          <w:numId w:val="0"/>
        </w:numPr>
        <w:tabs>
          <w:tab w:val="left" w:pos="360"/>
        </w:tabs>
        <w:ind w:firstLine="1079" w:firstLineChars="514"/>
        <w:rPr>
          <w:rFonts w:ascii="宋体" w:hAnsi="宋体" w:cs="宋体"/>
          <w:szCs w:val="21"/>
        </w:rPr>
      </w:pPr>
      <w:r>
        <w:rPr>
          <w:rFonts w:hint="eastAsia" w:ascii="宋体" w:hAnsi="宋体" w:eastAsia="宋体" w:cs="宋体"/>
          <w:szCs w:val="21"/>
        </w:rPr>
        <w:t>第十章  合同的授予与备案</w:t>
      </w:r>
    </w:p>
    <w:p>
      <w:pPr>
        <w:numPr>
          <w:ilvl w:val="1"/>
          <w:numId w:val="0"/>
        </w:numPr>
        <w:tabs>
          <w:tab w:val="left" w:pos="360"/>
        </w:tabs>
        <w:ind w:firstLine="1079" w:firstLineChars="514"/>
        <w:rPr>
          <w:rFonts w:ascii="宋体" w:hAnsi="宋体" w:cs="宋体"/>
          <w:szCs w:val="21"/>
        </w:rPr>
      </w:pPr>
      <w:r>
        <w:rPr>
          <w:rFonts w:hint="eastAsia" w:ascii="宋体" w:hAnsi="宋体" w:eastAsia="宋体" w:cs="宋体"/>
          <w:szCs w:val="21"/>
        </w:rPr>
        <w:t>第十一章  质疑处理</w:t>
      </w:r>
    </w:p>
    <w:p>
      <w:pPr>
        <w:ind w:firstLine="411" w:firstLineChars="196"/>
        <w:rPr>
          <w:rFonts w:ascii="宋体" w:hAnsi="宋体" w:cs="宋体"/>
          <w:szCs w:val="21"/>
        </w:rPr>
      </w:pPr>
      <w:r>
        <w:rPr>
          <w:rFonts w:hint="eastAsia" w:ascii="宋体" w:hAnsi="宋体" w:eastAsia="宋体" w:cs="宋体"/>
          <w:szCs w:val="21"/>
        </w:rPr>
        <w:t>11.2 投标人获得招标文件后，应仔细检查招标文件的所有内容，如有疑问应在答疑截止时间之前向医院采购机构提出，否则，由此引起的投标损失自负；投标人同时应认真审阅招标文件所有的事项、格式、条款和规范要求等，如果投标人的投标文件未按招标文件要求提交全部资料或者投标文件未对招标文件做出实质性响应，其风险应由投标人自行承担。</w:t>
      </w:r>
    </w:p>
    <w:p>
      <w:pPr>
        <w:ind w:firstLine="411" w:firstLineChars="196"/>
        <w:rPr>
          <w:rFonts w:ascii="宋体" w:hAnsi="宋体" w:cs="宋体"/>
          <w:szCs w:val="21"/>
        </w:rPr>
      </w:pPr>
      <w:r>
        <w:rPr>
          <w:rFonts w:hint="eastAsia" w:ascii="宋体" w:hAnsi="宋体" w:eastAsia="宋体" w:cs="宋体"/>
          <w:szCs w:val="21"/>
        </w:rPr>
        <w:t>11.3</w:t>
      </w:r>
      <w:r>
        <w:rPr>
          <w:rFonts w:hint="eastAsia" w:ascii="宋体" w:hAnsi="宋体" w:eastAsia="宋体" w:cs="宋体"/>
        </w:rPr>
        <w:t>任何人或任何组织向投标人提交的任何书面或口头资料，未经医院采购机构在网上发布或书面通知，均作无效处理，不得作为招标文件的组成部分。医院采购机构对投标人由此而做出的推论、理解和结论概不负责。</w:t>
      </w:r>
    </w:p>
    <w:p>
      <w:pPr>
        <w:spacing w:line="360" w:lineRule="auto"/>
        <w:rPr>
          <w:rFonts w:ascii="宋体" w:hAnsi="宋体" w:cs="宋体"/>
          <w:sz w:val="24"/>
        </w:rPr>
      </w:pPr>
      <w:r>
        <w:rPr>
          <w:rFonts w:hint="eastAsia" w:ascii="宋体" w:hAnsi="宋体" w:eastAsia="宋体" w:cs="宋体"/>
          <w:sz w:val="24"/>
        </w:rPr>
        <w:t>12．招标文件的澄清</w:t>
      </w:r>
    </w:p>
    <w:p>
      <w:pPr>
        <w:snapToGrid w:val="0"/>
        <w:ind w:firstLine="420" w:firstLineChars="200"/>
        <w:rPr>
          <w:rFonts w:ascii="宋体" w:hAnsi="宋体" w:cs="宋体"/>
          <w:szCs w:val="21"/>
        </w:rPr>
      </w:pPr>
      <w:r>
        <w:rPr>
          <w:rFonts w:hint="eastAsia" w:ascii="宋体" w:hAnsi="宋体" w:eastAsia="宋体" w:cs="宋体"/>
          <w:szCs w:val="21"/>
        </w:rPr>
        <w:t>12.1投标人如对招标文件内容有疑问，必须在招标文件规定的答疑截止时间前以书面形式提交给向医院采购机构。不论是医院采购机构根据需要主动对招标文件进行必要的澄清或是根据投标人的要求对招标文件做出澄清，医院采购机构都将在投标截止日期前以书面形式（包括医院采购机构网站公开发布方式）答复或发送给所有投标人。澄清纪要作为招标文件的组成部分，对投标人起约束作用；</w:t>
      </w:r>
    </w:p>
    <w:p>
      <w:pPr>
        <w:snapToGrid w:val="0"/>
        <w:ind w:firstLine="420" w:firstLineChars="200"/>
        <w:rPr>
          <w:rFonts w:ascii="宋体" w:hAnsi="宋体" w:cs="宋体"/>
          <w:szCs w:val="21"/>
        </w:rPr>
      </w:pPr>
      <w:r>
        <w:rPr>
          <w:rFonts w:hint="eastAsia" w:ascii="宋体" w:hAnsi="宋体" w:eastAsia="宋体" w:cs="宋体"/>
          <w:szCs w:val="21"/>
        </w:rPr>
        <w:t>12.2对于没有提出澄清又参与了该项目投标的供应商将被视为完全认同该</w:t>
      </w:r>
      <w:r>
        <w:rPr>
          <w:rFonts w:hint="eastAsia" w:ascii="宋体" w:hAnsi="宋体" w:eastAsia="宋体" w:cs="宋体"/>
        </w:rPr>
        <w:t>招标文件（含澄清纪要）</w:t>
      </w:r>
      <w:r>
        <w:rPr>
          <w:rFonts w:hint="eastAsia" w:ascii="宋体" w:hAnsi="宋体" w:eastAsia="宋体" w:cs="宋体"/>
          <w:szCs w:val="21"/>
        </w:rPr>
        <w:t>。</w:t>
      </w:r>
    </w:p>
    <w:p>
      <w:pPr>
        <w:snapToGrid w:val="0"/>
        <w:ind w:firstLine="420" w:firstLineChars="200"/>
        <w:rPr>
          <w:rFonts w:ascii="宋体" w:hAnsi="宋体" w:cs="宋体"/>
          <w:szCs w:val="21"/>
        </w:rPr>
      </w:pPr>
      <w:r>
        <w:rPr>
          <w:rFonts w:hint="eastAsia" w:ascii="宋体" w:hAnsi="宋体" w:eastAsia="宋体" w:cs="宋体"/>
          <w:szCs w:val="21"/>
        </w:rPr>
        <w:t>12.3 对招标文件中描述有歧义或前后不一致的地方，评审委员会有权进行评判，但对同一条款的评判应适用于每个投标人。</w:t>
      </w:r>
    </w:p>
    <w:p>
      <w:pPr>
        <w:spacing w:line="360" w:lineRule="auto"/>
        <w:rPr>
          <w:rFonts w:ascii="宋体" w:hAnsi="宋体" w:cs="宋体"/>
          <w:sz w:val="24"/>
        </w:rPr>
      </w:pPr>
      <w:r>
        <w:rPr>
          <w:rFonts w:hint="eastAsia" w:ascii="宋体" w:hAnsi="宋体" w:eastAsia="宋体" w:cs="宋体"/>
          <w:sz w:val="24"/>
        </w:rPr>
        <w:t>13．招标文件的修改</w:t>
      </w:r>
    </w:p>
    <w:p>
      <w:pPr>
        <w:ind w:firstLine="411" w:firstLineChars="196"/>
        <w:rPr>
          <w:rFonts w:ascii="宋体" w:hAnsi="宋体" w:cs="宋体"/>
          <w:szCs w:val="21"/>
        </w:rPr>
      </w:pPr>
      <w:r>
        <w:rPr>
          <w:rFonts w:hint="eastAsia" w:ascii="宋体" w:hAnsi="宋体" w:eastAsia="宋体" w:cs="宋体"/>
          <w:szCs w:val="21"/>
        </w:rPr>
        <w:t>13.1招标文件发出后，在投标截止日期前任何时候，确需要变更招标内容的，医院采购机构可主动或在解答投标人提出的澄清问题时对招标文件进行修改；</w:t>
      </w:r>
    </w:p>
    <w:p>
      <w:pPr>
        <w:ind w:firstLine="411" w:firstLineChars="196"/>
        <w:rPr>
          <w:rFonts w:ascii="宋体" w:hAnsi="宋体" w:cs="宋体"/>
          <w:szCs w:val="21"/>
        </w:rPr>
      </w:pPr>
      <w:r>
        <w:rPr>
          <w:rFonts w:hint="eastAsia" w:ascii="宋体" w:hAnsi="宋体" w:eastAsia="宋体" w:cs="宋体"/>
          <w:szCs w:val="21"/>
        </w:rPr>
        <w:t>13.2招标文件的修改以书面形式（包括网站公开发布方式）发送给所有投标人，招标文件的修改内容作为招标文件的组成部分，并具有约束力。</w:t>
      </w:r>
    </w:p>
    <w:p>
      <w:pPr>
        <w:ind w:firstLine="411" w:firstLineChars="196"/>
        <w:rPr>
          <w:rFonts w:ascii="宋体" w:hAnsi="宋体" w:cs="宋体"/>
          <w:szCs w:val="21"/>
        </w:rPr>
      </w:pPr>
      <w:r>
        <w:rPr>
          <w:rFonts w:hint="eastAsia" w:ascii="宋体" w:hAnsi="宋体" w:eastAsia="宋体" w:cs="宋体"/>
          <w:szCs w:val="21"/>
        </w:rPr>
        <w:t>13.3招标文件、招标文件澄清（答疑）纪要、招标文件修改补充通知内容均以书面（包括网站公开发布方式）明确的内容为准。当招标文件、修改补充通知、澄清（答疑）纪要内容相互矛盾时，以最后发出的内容为准；</w:t>
      </w:r>
    </w:p>
    <w:p>
      <w:pPr>
        <w:ind w:firstLine="411" w:firstLineChars="196"/>
        <w:rPr>
          <w:rFonts w:ascii="宋体" w:hAnsi="宋体" w:cs="宋体"/>
          <w:szCs w:val="21"/>
        </w:rPr>
      </w:pPr>
      <w:r>
        <w:rPr>
          <w:rFonts w:hint="eastAsia" w:ascii="宋体" w:hAnsi="宋体" w:eastAsia="宋体" w:cs="宋体"/>
          <w:szCs w:val="21"/>
        </w:rPr>
        <w:t>13.4医院采购机构保证招标文件澄清（答疑）纪要和招标文件修改补充通知在投标截止时间前以网站公开发布形式或书面形式发送给所有投标人。为使投标人在编写投标文件时有充分时间对招标文件的修改部分进行研究，医院采购机构可以酌情延长递交投标文件的截止日期，具体时间将在修改补充通知中明确。</w:t>
      </w:r>
    </w:p>
    <w:p>
      <w:pPr>
        <w:ind w:firstLine="411" w:firstLineChars="196"/>
        <w:rPr>
          <w:rFonts w:ascii="宋体" w:hAnsi="宋体" w:cs="宋体"/>
          <w:szCs w:val="21"/>
        </w:rPr>
      </w:pPr>
    </w:p>
    <w:p>
      <w:pPr>
        <w:pStyle w:val="8"/>
        <w:numPr>
          <w:ilvl w:val="0"/>
          <w:numId w:val="20"/>
        </w:numPr>
        <w:tabs>
          <w:tab w:val="left" w:pos="3960"/>
          <w:tab w:val="clear" w:pos="720"/>
        </w:tabs>
        <w:ind w:left="3960"/>
        <w:rPr>
          <w:rFonts w:ascii="宋体" w:hAnsi="宋体" w:eastAsia="宋体" w:cs="宋体"/>
          <w:bCs/>
          <w:szCs w:val="24"/>
        </w:rPr>
      </w:pPr>
      <w:r>
        <w:rPr>
          <w:rFonts w:hint="eastAsia" w:ascii="宋体" w:hAnsi="宋体" w:eastAsia="宋体" w:cs="宋体"/>
          <w:szCs w:val="24"/>
        </w:rPr>
        <w:t>投标文件的编制</w:t>
      </w:r>
    </w:p>
    <w:p>
      <w:pPr>
        <w:spacing w:line="360" w:lineRule="auto"/>
        <w:rPr>
          <w:rFonts w:ascii="宋体" w:hAnsi="宋体" w:cs="宋体"/>
          <w:sz w:val="24"/>
        </w:rPr>
      </w:pPr>
      <w:r>
        <w:rPr>
          <w:rFonts w:hint="eastAsia" w:ascii="宋体" w:hAnsi="宋体" w:eastAsia="宋体" w:cs="宋体"/>
          <w:sz w:val="24"/>
        </w:rPr>
        <w:t>14．投标文件的语言及度量单位</w:t>
      </w:r>
    </w:p>
    <w:p>
      <w:pPr>
        <w:ind w:firstLine="411" w:firstLineChars="196"/>
        <w:rPr>
          <w:rFonts w:ascii="宋体" w:hAnsi="宋体" w:cs="宋体"/>
          <w:szCs w:val="21"/>
        </w:rPr>
      </w:pPr>
      <w:r>
        <w:rPr>
          <w:rFonts w:hint="eastAsia" w:ascii="宋体" w:hAnsi="宋体" w:eastAsia="宋体" w:cs="宋体"/>
          <w:szCs w:val="21"/>
        </w:rPr>
        <w:t>14.1 投标人和医院采购机构之间与投标有关的所有往来通知、函件和投标文件均用中文表述。投标人随投标文件提供的证明文件和资料可以为其它语言，但必须附中文译文。翻译的中文资料与外文资料如果出现差异时，以中文为准，但翻译错误的除外。</w:t>
      </w:r>
    </w:p>
    <w:p>
      <w:pPr>
        <w:ind w:firstLine="411" w:firstLineChars="196"/>
        <w:rPr>
          <w:rFonts w:ascii="宋体" w:hAnsi="宋体" w:cs="宋体"/>
          <w:szCs w:val="21"/>
        </w:rPr>
      </w:pPr>
      <w:r>
        <w:rPr>
          <w:rFonts w:hint="eastAsia" w:ascii="宋体" w:hAnsi="宋体" w:eastAsia="宋体" w:cs="宋体"/>
          <w:szCs w:val="21"/>
        </w:rPr>
        <w:t>14.2 除技术规范另有规定外，投标文件使用的度量单位，均采用中华人民共和国法定计量单位。</w:t>
      </w:r>
    </w:p>
    <w:p>
      <w:pPr>
        <w:spacing w:line="360" w:lineRule="auto"/>
        <w:rPr>
          <w:rFonts w:ascii="宋体" w:hAnsi="宋体" w:cs="宋体"/>
          <w:sz w:val="24"/>
        </w:rPr>
      </w:pPr>
      <w:r>
        <w:rPr>
          <w:rFonts w:hint="eastAsia" w:ascii="宋体" w:hAnsi="宋体" w:eastAsia="宋体" w:cs="宋体"/>
          <w:sz w:val="24"/>
        </w:rPr>
        <w:t>15．投标文件的组成</w:t>
      </w:r>
    </w:p>
    <w:p>
      <w:pPr>
        <w:ind w:firstLine="413" w:firstLineChars="196"/>
        <w:rPr>
          <w:rFonts w:ascii="宋体" w:hAnsi="宋体" w:cs="宋体"/>
          <w:b/>
          <w:szCs w:val="21"/>
        </w:rPr>
      </w:pPr>
      <w:r>
        <w:rPr>
          <w:rFonts w:hint="eastAsia" w:ascii="宋体" w:hAnsi="宋体" w:eastAsia="宋体" w:cs="宋体"/>
          <w:b/>
          <w:szCs w:val="21"/>
        </w:rPr>
        <w:t>具体内容请详见本项目招标文件第一册“专用条款”的相关内容。</w:t>
      </w:r>
    </w:p>
    <w:p>
      <w:pPr>
        <w:spacing w:line="360" w:lineRule="auto"/>
        <w:rPr>
          <w:rFonts w:ascii="宋体" w:hAnsi="宋体" w:cs="宋体"/>
          <w:sz w:val="24"/>
        </w:rPr>
      </w:pPr>
      <w:r>
        <w:rPr>
          <w:rFonts w:hint="eastAsia" w:ascii="宋体" w:hAnsi="宋体" w:eastAsia="宋体" w:cs="宋体"/>
          <w:sz w:val="24"/>
        </w:rPr>
        <w:t>16．投标文件格式</w:t>
      </w:r>
    </w:p>
    <w:p>
      <w:pPr>
        <w:ind w:firstLine="411" w:firstLineChars="196"/>
        <w:rPr>
          <w:rFonts w:ascii="宋体" w:hAnsi="宋体" w:cs="宋体"/>
          <w:szCs w:val="21"/>
        </w:rPr>
      </w:pPr>
      <w:r>
        <w:rPr>
          <w:rFonts w:hint="eastAsia" w:ascii="宋体" w:hAnsi="宋体" w:eastAsia="宋体" w:cs="宋体"/>
          <w:szCs w:val="21"/>
        </w:rPr>
        <w:t>投标文件包括本通用条款第15条中规定的内容。如招标文件提供了投标文件格式，则</w:t>
      </w:r>
      <w:r>
        <w:rPr>
          <w:rFonts w:hint="eastAsia" w:ascii="宋体" w:hAnsi="宋体" w:eastAsia="宋体" w:cs="宋体"/>
          <w:b/>
          <w:bCs/>
          <w:szCs w:val="21"/>
        </w:rPr>
        <w:t>投标人提交的投标文件应毫无例外地使用招标文件所提供的相应格式</w:t>
      </w:r>
      <w:r>
        <w:rPr>
          <w:rFonts w:hint="eastAsia" w:ascii="宋体" w:hAnsi="宋体" w:eastAsia="宋体" w:cs="宋体"/>
          <w:szCs w:val="21"/>
        </w:rPr>
        <w:t>（表格可以按同样格式扩展）。</w:t>
      </w:r>
    </w:p>
    <w:p>
      <w:pPr>
        <w:spacing w:line="360" w:lineRule="auto"/>
        <w:rPr>
          <w:rFonts w:ascii="宋体" w:hAnsi="宋体" w:cs="宋体"/>
          <w:sz w:val="24"/>
        </w:rPr>
      </w:pPr>
      <w:r>
        <w:rPr>
          <w:rFonts w:hint="eastAsia" w:ascii="宋体" w:hAnsi="宋体" w:eastAsia="宋体" w:cs="宋体"/>
          <w:sz w:val="24"/>
        </w:rPr>
        <w:t>17．投标货币</w:t>
      </w:r>
    </w:p>
    <w:p>
      <w:pPr>
        <w:ind w:firstLine="411" w:firstLineChars="196"/>
        <w:rPr>
          <w:rFonts w:ascii="宋体" w:hAnsi="宋体" w:cs="宋体"/>
          <w:szCs w:val="21"/>
        </w:rPr>
      </w:pPr>
      <w:r>
        <w:rPr>
          <w:rFonts w:hint="eastAsia" w:ascii="宋体" w:hAnsi="宋体" w:eastAsia="宋体" w:cs="宋体"/>
          <w:szCs w:val="21"/>
        </w:rPr>
        <w:t>如招标文件第一册“专用条款”无另外规定，本项目的投标应以人民币计。</w:t>
      </w:r>
    </w:p>
    <w:p>
      <w:pPr>
        <w:spacing w:line="360" w:lineRule="auto"/>
        <w:rPr>
          <w:rFonts w:ascii="宋体" w:hAnsi="宋体" w:cs="宋体"/>
          <w:sz w:val="24"/>
        </w:rPr>
      </w:pPr>
      <w:r>
        <w:rPr>
          <w:rFonts w:hint="eastAsia" w:ascii="宋体" w:hAnsi="宋体" w:eastAsia="宋体" w:cs="宋体"/>
          <w:sz w:val="24"/>
        </w:rPr>
        <w:t>18．证明投标文件投标技术方案的合格性和符合招标文件规定的文件要求</w:t>
      </w:r>
    </w:p>
    <w:p>
      <w:pPr>
        <w:ind w:firstLine="411" w:firstLineChars="196"/>
        <w:rPr>
          <w:rFonts w:ascii="宋体" w:hAnsi="宋体" w:cs="宋体"/>
          <w:szCs w:val="21"/>
        </w:rPr>
      </w:pPr>
      <w:r>
        <w:rPr>
          <w:rFonts w:hint="eastAsia" w:ascii="宋体" w:hAnsi="宋体" w:eastAsia="宋体" w:cs="宋体"/>
          <w:szCs w:val="21"/>
        </w:rPr>
        <w:t>18.1 投标人应按照本项目招标文件第一册“专用条款”的要求提交证明文件证明其投标技术方案项下的货物、工程和服务的合格性符合招标文件规定。该投标技术方案及其证明文件作为投标文件的一部分。</w:t>
      </w:r>
    </w:p>
    <w:p>
      <w:pPr>
        <w:ind w:firstLine="411" w:firstLineChars="196"/>
        <w:rPr>
          <w:rFonts w:ascii="宋体" w:hAnsi="宋体" w:cs="宋体"/>
          <w:szCs w:val="21"/>
        </w:rPr>
      </w:pPr>
      <w:r>
        <w:rPr>
          <w:rFonts w:hint="eastAsia" w:ascii="宋体" w:hAnsi="宋体" w:eastAsia="宋体" w:cs="宋体"/>
          <w:szCs w:val="21"/>
        </w:rPr>
        <w:t>18.2 投标人提供证明投标技术方案与招标文件的要求相一致的文件，可以是文字资料、图纸、数据或数码照片、制造商公布的产品说明书、产品彩页和我国政府机构出具的产品检验和核准证件等，提供的文件应符合以下要求：</w:t>
      </w:r>
    </w:p>
    <w:p>
      <w:pPr>
        <w:ind w:firstLine="411" w:firstLineChars="196"/>
        <w:rPr>
          <w:rFonts w:ascii="宋体" w:hAnsi="宋体" w:cs="宋体"/>
          <w:szCs w:val="21"/>
        </w:rPr>
      </w:pPr>
      <w:r>
        <w:rPr>
          <w:rFonts w:hint="eastAsia" w:ascii="宋体" w:hAnsi="宋体" w:eastAsia="宋体" w:cs="宋体"/>
          <w:szCs w:val="21"/>
        </w:rPr>
        <w:t>18.2.1主要技术指标和性能的详细说明；</w:t>
      </w:r>
    </w:p>
    <w:p>
      <w:pPr>
        <w:ind w:firstLine="411" w:firstLineChars="196"/>
        <w:rPr>
          <w:rFonts w:ascii="宋体" w:hAnsi="宋体" w:cs="宋体"/>
          <w:szCs w:val="21"/>
        </w:rPr>
      </w:pPr>
      <w:r>
        <w:rPr>
          <w:rFonts w:hint="eastAsia" w:ascii="宋体" w:hAnsi="宋体" w:eastAsia="宋体" w:cs="宋体"/>
          <w:szCs w:val="21"/>
        </w:rPr>
        <w:t>18.2.2投标产品从采购人开始使用至招标文件中规定的周期内正常、连续地使用所必须的备件和专用工具清单，包括备件和专用工具的货源及现行价格；</w:t>
      </w:r>
    </w:p>
    <w:p>
      <w:pPr>
        <w:ind w:firstLine="411" w:firstLineChars="196"/>
        <w:rPr>
          <w:rFonts w:ascii="宋体" w:hAnsi="宋体" w:cs="宋体"/>
          <w:szCs w:val="21"/>
        </w:rPr>
      </w:pPr>
      <w:r>
        <w:rPr>
          <w:rFonts w:hint="eastAsia" w:ascii="宋体" w:hAnsi="宋体" w:eastAsia="宋体" w:cs="宋体"/>
          <w:szCs w:val="21"/>
        </w:rPr>
        <w:t>18.2.3对照招标文件技术规格，逐条说明投标技术方案已对采购人的技术规格做出了实质性的响应，或申明与技术规格条文的偏差和例外。投标人应详细说明投标技术方案中产品的具体参数，不得照搬照抄招标文件的技术要求；</w:t>
      </w:r>
    </w:p>
    <w:p>
      <w:pPr>
        <w:ind w:firstLine="411" w:firstLineChars="196"/>
        <w:rPr>
          <w:rFonts w:ascii="宋体" w:hAnsi="宋体" w:cs="宋体"/>
          <w:szCs w:val="21"/>
        </w:rPr>
      </w:pPr>
      <w:r>
        <w:rPr>
          <w:rFonts w:hint="eastAsia" w:ascii="宋体" w:hAnsi="宋体" w:eastAsia="宋体" w:cs="宋体"/>
          <w:szCs w:val="21"/>
        </w:rPr>
        <w:t>18.2.4产品说明书或彩页应为制造商公布或出具的中文产品说明书或彩页；提供外文说明书或彩页的，必须同时提供加盖制造商公章的对应中文翻译说明，评标依据以中文翻译内容为准，外文说明书或彩页仅供参考；产品说明书或彩页的尺寸和清晰度应该能够被阅读、识别和判断；</w:t>
      </w:r>
    </w:p>
    <w:p>
      <w:pPr>
        <w:ind w:firstLine="411" w:firstLineChars="196"/>
        <w:rPr>
          <w:rFonts w:ascii="宋体" w:hAnsi="宋体" w:cs="宋体"/>
          <w:szCs w:val="21"/>
        </w:rPr>
      </w:pPr>
      <w:r>
        <w:rPr>
          <w:rFonts w:hint="eastAsia" w:ascii="宋体" w:hAnsi="宋体" w:eastAsia="宋体" w:cs="宋体"/>
          <w:szCs w:val="21"/>
        </w:rPr>
        <w:t>18.2.5我国政府机构出具的产品检验和核准证件应为证件正面、背面和附件标注的全部具体内容；产品检验和核准证件的尺寸和清晰度应该能够被阅读、识别和判断，提供原件复印件。</w:t>
      </w:r>
    </w:p>
    <w:p>
      <w:pPr>
        <w:ind w:firstLine="411" w:firstLineChars="196"/>
        <w:rPr>
          <w:rFonts w:ascii="宋体" w:hAnsi="宋体" w:cs="宋体"/>
          <w:szCs w:val="21"/>
        </w:rPr>
      </w:pPr>
      <w:r>
        <w:rPr>
          <w:rFonts w:hint="eastAsia" w:ascii="宋体" w:hAnsi="宋体" w:eastAsia="宋体" w:cs="宋体"/>
          <w:szCs w:val="21"/>
        </w:rPr>
        <w:t>18.3相关资料不符合18.2款要求的，评审委员会有权认定为投标技术方案不合格响应，其相关分数予以扣减或作投标无效处理。</w:t>
      </w:r>
    </w:p>
    <w:p>
      <w:pPr>
        <w:ind w:firstLine="411" w:firstLineChars="196"/>
        <w:rPr>
          <w:rFonts w:ascii="宋体" w:hAnsi="宋体" w:cs="宋体"/>
          <w:szCs w:val="21"/>
        </w:rPr>
      </w:pPr>
      <w:r>
        <w:rPr>
          <w:rFonts w:hint="eastAsia" w:ascii="宋体" w:hAnsi="宋体" w:eastAsia="宋体" w:cs="宋体"/>
          <w:szCs w:val="21"/>
        </w:rPr>
        <w:t>18.4投标人在阐述上述第18.2时应注意采购人在技术规格中指出的工艺、材料和设备的标准以及参照的牌号或分类号仅起说明作用，并没有任何限制性。投标人在投标中可以选用替代标准、牌号或分类号，但这些替代要实质上满足招标文件中技术规格的要求，是否</w:t>
      </w:r>
      <w:r>
        <w:rPr>
          <w:rFonts w:hint="eastAsia" w:ascii="宋体" w:hAnsi="宋体" w:eastAsia="宋体" w:cs="宋体"/>
        </w:rPr>
        <w:t>满足要求</w:t>
      </w:r>
      <w:r>
        <w:rPr>
          <w:rFonts w:hint="eastAsia" w:ascii="宋体" w:hAnsi="宋体" w:eastAsia="宋体" w:cs="宋体"/>
          <w:szCs w:val="21"/>
        </w:rPr>
        <w:t>，由评审委员会来评判。</w:t>
      </w:r>
    </w:p>
    <w:p>
      <w:pPr>
        <w:ind w:firstLine="411" w:firstLineChars="196"/>
        <w:rPr>
          <w:rFonts w:ascii="宋体" w:hAnsi="宋体" w:cs="宋体"/>
          <w:szCs w:val="21"/>
        </w:rPr>
      </w:pPr>
      <w:r>
        <w:rPr>
          <w:rFonts w:hint="eastAsia" w:ascii="宋体" w:hAnsi="宋体" w:eastAsia="宋体" w:cs="宋体"/>
          <w:szCs w:val="21"/>
        </w:rPr>
        <w:t>18.5为保证公平公正，除非另有规定或说明，投标人对同一项目投标时，不得同时提供两套或两套以上的投标方案。</w:t>
      </w:r>
    </w:p>
    <w:p>
      <w:pPr>
        <w:spacing w:line="360" w:lineRule="auto"/>
        <w:rPr>
          <w:rFonts w:ascii="宋体" w:hAnsi="宋体" w:cs="宋体"/>
          <w:sz w:val="24"/>
        </w:rPr>
      </w:pPr>
      <w:r>
        <w:rPr>
          <w:rFonts w:hint="eastAsia" w:ascii="宋体" w:hAnsi="宋体" w:eastAsia="宋体" w:cs="宋体"/>
          <w:sz w:val="24"/>
        </w:rPr>
        <w:t>19．投标文件其他证明文件的要求</w:t>
      </w:r>
    </w:p>
    <w:p>
      <w:pPr>
        <w:ind w:firstLine="411" w:firstLineChars="196"/>
        <w:rPr>
          <w:rFonts w:ascii="宋体" w:hAnsi="宋体" w:cs="宋体"/>
          <w:szCs w:val="21"/>
        </w:rPr>
      </w:pPr>
      <w:r>
        <w:rPr>
          <w:rFonts w:hint="eastAsia" w:ascii="宋体" w:hAnsi="宋体" w:eastAsia="宋体" w:cs="宋体"/>
          <w:szCs w:val="21"/>
        </w:rPr>
        <w:t>19.1对项目招标文件《评标信息》评分项中涉及的相关业绩、社保情况等内容以及《资格性审查表》和《符合性审查表》中涉及的证明材料，投标人应提供相关部门出具的证明材料原件复印件，原件备查。有关复印的尺寸和清晰度要求能够被阅读、识别和判断。若投标人未按要求提供证明材料或提供的是部分证明材料或提供不清晰的复印件的，评审委员会有权认定其投标文件未对招标文件有关需求进行响应，涉及资格性检查或符合性检查的予以投标无效处理，涉及《评标信息》打分项的则该项评分予以0分处理。</w:t>
      </w:r>
    </w:p>
    <w:p>
      <w:pPr>
        <w:ind w:firstLine="411" w:firstLineChars="196"/>
        <w:rPr>
          <w:rFonts w:ascii="宋体" w:hAnsi="宋体" w:cs="宋体"/>
          <w:szCs w:val="21"/>
        </w:rPr>
      </w:pPr>
      <w:r>
        <w:rPr>
          <w:rFonts w:hint="eastAsia" w:ascii="宋体" w:hAnsi="宋体" w:eastAsia="宋体" w:cs="宋体"/>
          <w:szCs w:val="21"/>
        </w:rPr>
        <w:t>19.2本项目涉及提供的有关资质证书，若原有资质证书处于年审期间，须提供证书颁发部门提供的回执，并且回执须证明该证书依然有效（若在法规范围不需提供的，供应商应做书面说明并提供证明文件，否则该证书无效），则该投标人提供年审证明的可按原资质投标；若投标人正在申报上一级别资质，在未获批准之前，仍按原级别资质投标。</w:t>
      </w:r>
    </w:p>
    <w:p>
      <w:pPr>
        <w:spacing w:line="360" w:lineRule="auto"/>
        <w:rPr>
          <w:rFonts w:ascii="宋体" w:hAnsi="宋体" w:cs="宋体"/>
          <w:sz w:val="24"/>
        </w:rPr>
      </w:pPr>
      <w:r>
        <w:rPr>
          <w:rFonts w:hint="eastAsia" w:ascii="宋体" w:hAnsi="宋体" w:eastAsia="宋体" w:cs="宋体"/>
          <w:sz w:val="24"/>
        </w:rPr>
        <w:t>20．投标有效期</w:t>
      </w:r>
    </w:p>
    <w:p>
      <w:pPr>
        <w:ind w:firstLine="411" w:firstLineChars="196"/>
        <w:rPr>
          <w:rFonts w:ascii="宋体" w:hAnsi="宋体" w:cs="宋体"/>
          <w:szCs w:val="21"/>
        </w:rPr>
      </w:pPr>
      <w:r>
        <w:rPr>
          <w:rFonts w:hint="eastAsia" w:ascii="宋体" w:hAnsi="宋体" w:eastAsia="宋体" w:cs="宋体"/>
          <w:szCs w:val="21"/>
        </w:rPr>
        <w:t>20.1 投标有效期为从投标截止之日算起的日历天数，具体见专用条款中投标有效期的天数要求。在此期限内，所有投标文件均保持有效；</w:t>
      </w:r>
    </w:p>
    <w:p>
      <w:pPr>
        <w:ind w:firstLine="411" w:firstLineChars="196"/>
        <w:rPr>
          <w:rFonts w:ascii="宋体" w:hAnsi="宋体" w:cs="宋体"/>
          <w:szCs w:val="21"/>
        </w:rPr>
      </w:pPr>
      <w:r>
        <w:rPr>
          <w:rFonts w:hint="eastAsia" w:ascii="宋体" w:hAnsi="宋体" w:eastAsia="宋体" w:cs="宋体"/>
          <w:szCs w:val="21"/>
        </w:rPr>
        <w:t>20.2 在特殊的情况下，医院采购机构在原定的投标有效期满之前，可以根据需要以书面形式（包括网站公开发布方式）向投标人提出延长投标有效期的要求，对此要求投标人须以书面形式予以答复，投标人可以拒绝医院采购机构此项要求，其投标在原投标有效期满后不再有效。同意延长投标有效期的投标人不能要求也不允许修改其投标文件，但应当相应的延长投标担保的有效期；</w:t>
      </w:r>
    </w:p>
    <w:p>
      <w:pPr>
        <w:ind w:firstLine="411" w:firstLineChars="196"/>
        <w:rPr>
          <w:rFonts w:ascii="宋体" w:hAnsi="宋体" w:cs="宋体"/>
          <w:szCs w:val="21"/>
        </w:rPr>
      </w:pPr>
      <w:r>
        <w:rPr>
          <w:rFonts w:hint="eastAsia" w:ascii="宋体" w:hAnsi="宋体" w:eastAsia="宋体" w:cs="宋体"/>
          <w:szCs w:val="21"/>
        </w:rPr>
        <w:t>20.3 中标单位的投标书有效期，截止于完成本招标文件规定的全部项目内容，并通过竣工验收及保修结束。</w:t>
      </w:r>
    </w:p>
    <w:p>
      <w:pPr>
        <w:spacing w:line="360" w:lineRule="auto"/>
        <w:rPr>
          <w:rFonts w:ascii="宋体" w:hAnsi="宋体" w:cs="宋体"/>
          <w:sz w:val="24"/>
        </w:rPr>
      </w:pPr>
      <w:r>
        <w:rPr>
          <w:rFonts w:hint="eastAsia" w:ascii="宋体" w:hAnsi="宋体" w:eastAsia="宋体" w:cs="宋体"/>
          <w:sz w:val="24"/>
        </w:rPr>
        <w:t>21．关于投标保证金</w:t>
      </w:r>
    </w:p>
    <w:p>
      <w:pPr>
        <w:ind w:firstLine="411" w:firstLineChars="196"/>
        <w:rPr>
          <w:rFonts w:ascii="宋体" w:hAnsi="宋体" w:cs="宋体"/>
          <w:szCs w:val="21"/>
        </w:rPr>
      </w:pPr>
      <w:r>
        <w:rPr>
          <w:rFonts w:hint="eastAsia" w:ascii="宋体" w:hAnsi="宋体" w:eastAsia="宋体" w:cs="宋体"/>
          <w:szCs w:val="21"/>
        </w:rPr>
        <w:t>21.1 为切实减轻企业负担，降低制度性交易成本，一般采购项目不收取投标保证金。</w:t>
      </w:r>
    </w:p>
    <w:p>
      <w:pPr>
        <w:ind w:firstLine="411" w:firstLineChars="196"/>
        <w:rPr>
          <w:rFonts w:ascii="宋体" w:hAnsi="宋体" w:cs="宋体"/>
          <w:szCs w:val="21"/>
        </w:rPr>
      </w:pPr>
      <w:r>
        <w:rPr>
          <w:rFonts w:hint="eastAsia" w:ascii="宋体" w:hAnsi="宋体" w:eastAsia="宋体" w:cs="宋体"/>
          <w:szCs w:val="21"/>
        </w:rPr>
        <w:t>21.2 若为重大项目，医院采购机构可自行决定另外收取投标保证金，不受21.1款限制。是否另外收取投标保证金，请见本招标文件“专用条款”《对通用条款的补充内容》中的相关要求。</w:t>
      </w:r>
    </w:p>
    <w:p>
      <w:pPr>
        <w:spacing w:line="360" w:lineRule="auto"/>
        <w:rPr>
          <w:rFonts w:ascii="宋体" w:hAnsi="宋体" w:cs="宋体"/>
          <w:sz w:val="24"/>
        </w:rPr>
      </w:pPr>
      <w:r>
        <w:rPr>
          <w:rFonts w:hint="eastAsia" w:ascii="宋体" w:hAnsi="宋体" w:eastAsia="宋体" w:cs="宋体"/>
          <w:sz w:val="24"/>
        </w:rPr>
        <w:t>22．投标人的替代方案</w:t>
      </w:r>
    </w:p>
    <w:p>
      <w:pPr>
        <w:ind w:firstLine="411" w:firstLineChars="196"/>
        <w:rPr>
          <w:rFonts w:ascii="宋体" w:hAnsi="宋体" w:cs="宋体"/>
          <w:szCs w:val="21"/>
        </w:rPr>
      </w:pPr>
      <w:r>
        <w:rPr>
          <w:rFonts w:hint="eastAsia" w:ascii="宋体" w:hAnsi="宋体" w:eastAsia="宋体" w:cs="宋体"/>
          <w:szCs w:val="21"/>
        </w:rPr>
        <w:t>22.1投标人所提交的投标文件应完全满足招标文件（包括图纸和技术规范所示的基本技术设计）的要求。除非招标的项目明确允许投标人提交替代方案，否则投标人有关替代方案的条款将初审不通过，投标无效。</w:t>
      </w:r>
    </w:p>
    <w:p>
      <w:pPr>
        <w:ind w:firstLine="411" w:firstLineChars="196"/>
        <w:rPr>
          <w:rFonts w:ascii="宋体" w:hAnsi="宋体" w:cs="宋体"/>
          <w:szCs w:val="21"/>
        </w:rPr>
      </w:pPr>
      <w:r>
        <w:rPr>
          <w:rFonts w:hint="eastAsia" w:ascii="宋体" w:hAnsi="宋体" w:eastAsia="宋体" w:cs="宋体"/>
          <w:szCs w:val="21"/>
        </w:rPr>
        <w:t>22.2 如果允许投标人提交替代方案，则准备提交替代方案的投标人除应提交一份满足招标文件（包括图纸和技术规范所示的基本技术设计）要求的投标文件外，还应提交需评审其替代方案所需的全部资料，包括项目方案书、技术规范、替代方案报价书、所建议的项目方案及有关的其它详细资料。</w:t>
      </w:r>
    </w:p>
    <w:p>
      <w:pPr>
        <w:spacing w:line="360" w:lineRule="auto"/>
        <w:rPr>
          <w:rFonts w:ascii="宋体" w:hAnsi="宋体" w:cs="宋体"/>
          <w:sz w:val="24"/>
        </w:rPr>
      </w:pPr>
      <w:r>
        <w:rPr>
          <w:rFonts w:hint="eastAsia" w:ascii="宋体" w:hAnsi="宋体" w:eastAsia="宋体" w:cs="宋体"/>
          <w:sz w:val="24"/>
        </w:rPr>
        <w:t>23．投标文件的制作要求</w:t>
      </w:r>
    </w:p>
    <w:p>
      <w:pPr>
        <w:ind w:firstLine="411" w:firstLineChars="196"/>
        <w:rPr>
          <w:rFonts w:ascii="宋体" w:hAnsi="宋体" w:cs="宋体"/>
        </w:rPr>
      </w:pPr>
      <w:r>
        <w:rPr>
          <w:rFonts w:hint="eastAsia" w:ascii="宋体" w:hAnsi="宋体" w:eastAsia="宋体" w:cs="宋体"/>
        </w:rPr>
        <w:t>23.1 投标人需按项目采购文件要求准备所投项目的纸质投标文件正副本。</w:t>
      </w:r>
    </w:p>
    <w:p>
      <w:pPr>
        <w:ind w:firstLine="413" w:firstLineChars="196"/>
        <w:rPr>
          <w:rFonts w:ascii="宋体" w:hAnsi="宋体" w:cs="宋体"/>
        </w:rPr>
      </w:pPr>
      <w:r>
        <w:rPr>
          <w:rFonts w:hint="eastAsia" w:ascii="宋体" w:hAnsi="宋体" w:eastAsia="宋体" w:cs="宋体"/>
          <w:b/>
        </w:rPr>
        <w:tab/>
      </w:r>
      <w:r>
        <w:rPr>
          <w:rFonts w:hint="eastAsia" w:ascii="宋体" w:hAnsi="宋体" w:eastAsia="宋体" w:cs="宋体"/>
        </w:rPr>
        <w:t>23.2 投标人在编辑投标文件时，在投标文件目录中属于本节点内容的必须在本节点中填写；填写到其他节点或附件的，评审委员会有权不予接受，一切后果由供应商自行承担。</w:t>
      </w:r>
    </w:p>
    <w:p>
      <w:pPr>
        <w:ind w:firstLine="411" w:firstLineChars="196"/>
        <w:rPr>
          <w:rFonts w:ascii="宋体" w:hAnsi="宋体" w:cs="宋体"/>
        </w:rPr>
      </w:pPr>
      <w:r>
        <w:rPr>
          <w:rFonts w:hint="eastAsia" w:ascii="宋体" w:hAnsi="宋体" w:eastAsia="宋体" w:cs="宋体"/>
        </w:rPr>
        <w:t>23.3 投标文件要求盖章、签字的地方，应按要求盖章、签字。评审委员会有权将缺、漏盖章、签字的投标文件认定为无效投标。</w:t>
      </w:r>
    </w:p>
    <w:p>
      <w:pPr>
        <w:ind w:firstLine="411" w:firstLineChars="196"/>
        <w:rPr>
          <w:rFonts w:ascii="宋体" w:hAnsi="宋体" w:cs="宋体"/>
        </w:rPr>
      </w:pPr>
      <w:r>
        <w:rPr>
          <w:rFonts w:hint="eastAsia" w:ascii="宋体" w:hAnsi="宋体" w:eastAsia="宋体" w:cs="宋体"/>
        </w:rPr>
        <w:t>23.4 电报、电话、传真形式的投标概不接受。</w:t>
      </w:r>
    </w:p>
    <w:p>
      <w:pPr>
        <w:ind w:firstLine="411" w:firstLineChars="196"/>
        <w:rPr>
          <w:rFonts w:ascii="宋体" w:hAnsi="宋体" w:cs="宋体"/>
        </w:rPr>
      </w:pPr>
    </w:p>
    <w:p>
      <w:pPr>
        <w:pStyle w:val="8"/>
        <w:numPr>
          <w:ilvl w:val="0"/>
          <w:numId w:val="20"/>
        </w:numPr>
        <w:tabs>
          <w:tab w:val="left" w:pos="3960"/>
          <w:tab w:val="clear" w:pos="720"/>
        </w:tabs>
        <w:ind w:left="3960"/>
        <w:rPr>
          <w:rFonts w:ascii="宋体" w:hAnsi="宋体" w:eastAsia="宋体" w:cs="宋体"/>
          <w:bCs/>
          <w:szCs w:val="24"/>
        </w:rPr>
      </w:pPr>
      <w:r>
        <w:rPr>
          <w:rFonts w:hint="eastAsia" w:ascii="宋体" w:hAnsi="宋体" w:eastAsia="宋体" w:cs="宋体"/>
          <w:szCs w:val="24"/>
        </w:rPr>
        <w:t>投标文件的递交</w:t>
      </w:r>
    </w:p>
    <w:p>
      <w:pPr>
        <w:spacing w:line="360" w:lineRule="auto"/>
        <w:rPr>
          <w:rFonts w:ascii="宋体" w:hAnsi="宋体" w:cs="宋体"/>
          <w:sz w:val="24"/>
        </w:rPr>
      </w:pPr>
      <w:r>
        <w:rPr>
          <w:rFonts w:hint="eastAsia" w:ascii="宋体" w:hAnsi="宋体" w:eastAsia="宋体" w:cs="宋体"/>
          <w:sz w:val="24"/>
        </w:rPr>
        <w:t>24．投标书的保密</w:t>
      </w:r>
    </w:p>
    <w:p>
      <w:pPr>
        <w:ind w:firstLine="411" w:firstLineChars="196"/>
        <w:rPr>
          <w:rFonts w:ascii="宋体" w:hAnsi="宋体" w:cs="宋体"/>
        </w:rPr>
      </w:pPr>
      <w:r>
        <w:rPr>
          <w:rFonts w:hint="eastAsia" w:ascii="宋体" w:hAnsi="宋体" w:eastAsia="宋体" w:cs="宋体"/>
        </w:rPr>
        <w:t>24.1在投标文件制作完成后，所有文件必须密封完整且加盖公章。</w:t>
      </w:r>
    </w:p>
    <w:p>
      <w:pPr>
        <w:ind w:firstLine="411" w:firstLineChars="196"/>
        <w:rPr>
          <w:rFonts w:ascii="宋体" w:hAnsi="宋体" w:cs="宋体"/>
        </w:rPr>
      </w:pPr>
      <w:r>
        <w:rPr>
          <w:rFonts w:hint="eastAsia" w:ascii="宋体" w:hAnsi="宋体" w:eastAsia="宋体" w:cs="宋体"/>
        </w:rPr>
        <w:t>24.2 所有投标文件应在其密封封面上注明项目名称、项目编号、投标人名称。</w:t>
      </w:r>
    </w:p>
    <w:p>
      <w:pPr>
        <w:spacing w:line="360" w:lineRule="auto"/>
        <w:rPr>
          <w:rFonts w:ascii="宋体" w:hAnsi="宋体" w:cs="宋体"/>
          <w:sz w:val="24"/>
        </w:rPr>
      </w:pPr>
      <w:r>
        <w:rPr>
          <w:rFonts w:hint="eastAsia" w:ascii="宋体" w:hAnsi="宋体" w:eastAsia="宋体" w:cs="宋体"/>
          <w:sz w:val="24"/>
        </w:rPr>
        <w:t>25．投标截止时间</w:t>
      </w:r>
    </w:p>
    <w:p>
      <w:pPr>
        <w:ind w:firstLine="411" w:firstLineChars="196"/>
        <w:rPr>
          <w:rFonts w:ascii="宋体" w:hAnsi="宋体" w:cs="宋体"/>
        </w:rPr>
      </w:pPr>
      <w:r>
        <w:rPr>
          <w:rFonts w:hint="eastAsia" w:ascii="宋体" w:hAnsi="宋体" w:eastAsia="宋体" w:cs="宋体"/>
        </w:rPr>
        <w:t>25.1投标人必须在采购文件规定的投标截止时间前将密封的投标文件递交到项目指定的地点。</w:t>
      </w:r>
    </w:p>
    <w:p>
      <w:pPr>
        <w:ind w:firstLine="411" w:firstLineChars="196"/>
        <w:rPr>
          <w:rFonts w:ascii="宋体" w:hAnsi="宋体" w:cs="宋体"/>
        </w:rPr>
      </w:pPr>
      <w:r>
        <w:rPr>
          <w:rFonts w:hint="eastAsia" w:ascii="宋体" w:hAnsi="宋体" w:eastAsia="宋体" w:cs="宋体"/>
        </w:rPr>
        <w:t>25.2医院采购机构可以按本通用条款第13条规定，通过修改招标文件自行决定酌情延长投标截止期。在此情况下，医院采购机构、采购人和投标人受投标截止期制约的所有权利和义务均应延长至新的截止期。</w:t>
      </w:r>
    </w:p>
    <w:p>
      <w:pPr>
        <w:ind w:firstLine="411" w:firstLineChars="196"/>
        <w:rPr>
          <w:rFonts w:ascii="宋体" w:hAnsi="宋体" w:cs="宋体"/>
        </w:rPr>
      </w:pPr>
      <w:r>
        <w:rPr>
          <w:rFonts w:hint="eastAsia" w:ascii="宋体" w:hAnsi="宋体" w:eastAsia="宋体" w:cs="宋体"/>
        </w:rPr>
        <w:t>25.3医院采购机构不接受投标截止时间后递交的投标文件。</w:t>
      </w:r>
    </w:p>
    <w:p>
      <w:pPr>
        <w:spacing w:line="360" w:lineRule="auto"/>
        <w:rPr>
          <w:rFonts w:ascii="宋体" w:hAnsi="宋体" w:cs="宋体"/>
          <w:sz w:val="24"/>
        </w:rPr>
      </w:pPr>
      <w:r>
        <w:rPr>
          <w:rFonts w:hint="eastAsia" w:ascii="宋体" w:hAnsi="宋体" w:eastAsia="宋体" w:cs="宋体"/>
          <w:sz w:val="24"/>
        </w:rPr>
        <w:t>26.样品的递交</w:t>
      </w:r>
    </w:p>
    <w:p>
      <w:pPr>
        <w:ind w:firstLine="420"/>
        <w:rPr>
          <w:rFonts w:ascii="宋体" w:hAnsi="宋体" w:cs="宋体"/>
          <w:szCs w:val="21"/>
        </w:rPr>
      </w:pPr>
      <w:r>
        <w:rPr>
          <w:rFonts w:hint="eastAsia" w:ascii="宋体" w:hAnsi="宋体" w:eastAsia="宋体" w:cs="宋体"/>
          <w:szCs w:val="21"/>
        </w:rPr>
        <w:t>26.1 如确有必要，采购人可以要求投标人提供样品。</w:t>
      </w:r>
    </w:p>
    <w:p>
      <w:pPr>
        <w:ind w:firstLine="420"/>
        <w:rPr>
          <w:rFonts w:ascii="宋体" w:hAnsi="宋体" w:cs="宋体"/>
          <w:szCs w:val="21"/>
        </w:rPr>
      </w:pPr>
      <w:r>
        <w:rPr>
          <w:rFonts w:hint="eastAsia" w:ascii="宋体" w:hAnsi="宋体" w:eastAsia="宋体" w:cs="宋体"/>
          <w:szCs w:val="21"/>
        </w:rPr>
        <w:t>26.2 未中标供应商的样品将于招标结束后退还。中标供应商的样品由采购人保留，作为验收的依据。</w:t>
      </w:r>
    </w:p>
    <w:p>
      <w:pPr>
        <w:ind w:firstLine="420"/>
        <w:rPr>
          <w:rFonts w:ascii="宋体" w:hAnsi="宋体" w:cs="宋体"/>
          <w:szCs w:val="21"/>
        </w:rPr>
      </w:pPr>
      <w:r>
        <w:rPr>
          <w:rFonts w:hint="eastAsia" w:ascii="宋体" w:hAnsi="宋体" w:eastAsia="宋体" w:cs="宋体"/>
          <w:szCs w:val="21"/>
        </w:rPr>
        <w:t>26.3投标样品未能及时退回的，医院采购机构工作人员将及时存放到样品室，并发函或电话敦促相关单位取回。经敦促仍未能按规定取回的，视同投标供应商或采购人放弃取回，医院采购机构将定期清理。</w:t>
      </w:r>
    </w:p>
    <w:p>
      <w:pPr>
        <w:spacing w:line="360" w:lineRule="auto"/>
        <w:rPr>
          <w:rFonts w:ascii="宋体" w:hAnsi="宋体" w:cs="宋体"/>
          <w:sz w:val="24"/>
        </w:rPr>
      </w:pPr>
      <w:r>
        <w:rPr>
          <w:rFonts w:hint="eastAsia" w:ascii="宋体" w:hAnsi="宋体" w:eastAsia="宋体" w:cs="宋体"/>
          <w:sz w:val="24"/>
        </w:rPr>
        <w:t>27．投标文件的修改和撤销</w:t>
      </w:r>
    </w:p>
    <w:p>
      <w:pPr>
        <w:ind w:firstLine="411" w:firstLineChars="196"/>
        <w:rPr>
          <w:rFonts w:ascii="宋体" w:hAnsi="宋体" w:cs="宋体"/>
        </w:rPr>
      </w:pPr>
      <w:r>
        <w:rPr>
          <w:rFonts w:hint="eastAsia" w:ascii="宋体" w:hAnsi="宋体" w:eastAsia="宋体" w:cs="宋体"/>
        </w:rPr>
        <w:t>27.1投标方在提交投标文件后可对其投标文件进行修改或撤回。</w:t>
      </w:r>
    </w:p>
    <w:p>
      <w:pPr>
        <w:ind w:firstLine="411" w:firstLineChars="196"/>
        <w:rPr>
          <w:rFonts w:ascii="宋体" w:hAnsi="宋体" w:cs="宋体"/>
        </w:rPr>
      </w:pPr>
      <w:r>
        <w:rPr>
          <w:rFonts w:hint="eastAsia" w:ascii="宋体" w:hAnsi="宋体" w:eastAsia="宋体" w:cs="宋体"/>
        </w:rPr>
        <w:t>27.2投标截止时间以后不得修改投标文件。</w:t>
      </w:r>
    </w:p>
    <w:p>
      <w:pPr>
        <w:ind w:firstLine="411" w:firstLineChars="196"/>
        <w:rPr>
          <w:rFonts w:ascii="宋体" w:hAnsi="宋体" w:cs="宋体"/>
        </w:rPr>
      </w:pPr>
      <w:r>
        <w:rPr>
          <w:rFonts w:hint="eastAsia" w:ascii="宋体" w:hAnsi="宋体" w:eastAsia="宋体" w:cs="宋体"/>
        </w:rPr>
        <w:t>27.3从投标截止期至投标人在投标书中确定的投标有效期之间的这段时间内，投标人不得撤回其投标。</w:t>
      </w:r>
    </w:p>
    <w:p>
      <w:pPr>
        <w:ind w:firstLine="411" w:firstLineChars="196"/>
        <w:rPr>
          <w:rFonts w:ascii="宋体" w:hAnsi="宋体" w:cs="宋体"/>
          <w:szCs w:val="21"/>
        </w:rPr>
      </w:pPr>
      <w:r>
        <w:rPr>
          <w:rFonts w:hint="eastAsia" w:ascii="宋体" w:hAnsi="宋体" w:eastAsia="宋体" w:cs="宋体"/>
          <w:szCs w:val="21"/>
        </w:rPr>
        <w:t>27.4医院采购机构不退还投标文件，专用条款另有规定的除外。</w:t>
      </w:r>
    </w:p>
    <w:p>
      <w:pPr>
        <w:ind w:firstLine="411" w:firstLineChars="196"/>
        <w:rPr>
          <w:rFonts w:ascii="宋体" w:hAnsi="宋体" w:cs="宋体"/>
          <w:szCs w:val="21"/>
        </w:rPr>
      </w:pPr>
    </w:p>
    <w:p>
      <w:pPr>
        <w:pStyle w:val="8"/>
        <w:numPr>
          <w:ilvl w:val="0"/>
          <w:numId w:val="20"/>
        </w:numPr>
        <w:tabs>
          <w:tab w:val="left" w:pos="3960"/>
          <w:tab w:val="clear" w:pos="720"/>
        </w:tabs>
        <w:ind w:left="3960"/>
        <w:rPr>
          <w:rFonts w:ascii="宋体" w:hAnsi="宋体" w:eastAsia="宋体" w:cs="宋体"/>
        </w:rPr>
      </w:pPr>
      <w:r>
        <w:rPr>
          <w:rFonts w:hint="eastAsia" w:ascii="宋体" w:hAnsi="宋体" w:eastAsia="宋体" w:cs="宋体"/>
        </w:rPr>
        <w:t>开标</w:t>
      </w:r>
    </w:p>
    <w:p>
      <w:pPr>
        <w:spacing w:line="360" w:lineRule="auto"/>
        <w:rPr>
          <w:rFonts w:ascii="宋体" w:hAnsi="宋体" w:cs="宋体"/>
          <w:sz w:val="24"/>
        </w:rPr>
      </w:pPr>
      <w:r>
        <w:rPr>
          <w:rFonts w:hint="eastAsia" w:ascii="宋体" w:hAnsi="宋体" w:eastAsia="宋体" w:cs="宋体"/>
          <w:sz w:val="24"/>
        </w:rPr>
        <w:t>28．开标</w:t>
      </w:r>
    </w:p>
    <w:p>
      <w:pPr>
        <w:ind w:firstLine="359" w:firstLineChars="171"/>
        <w:rPr>
          <w:rFonts w:ascii="宋体" w:hAnsi="宋体" w:cs="宋体"/>
          <w:szCs w:val="21"/>
        </w:rPr>
      </w:pPr>
      <w:r>
        <w:rPr>
          <w:rFonts w:hint="eastAsia" w:ascii="宋体" w:hAnsi="宋体" w:eastAsia="宋体" w:cs="宋体"/>
          <w:szCs w:val="21"/>
        </w:rPr>
        <w:t>28.1医院采购机构将在投标截止时间后，对密封的投标文件进行拆封，开标，并在开标现场公布开标结果。</w:t>
      </w:r>
    </w:p>
    <w:p>
      <w:pPr>
        <w:ind w:firstLine="359" w:firstLineChars="171"/>
        <w:rPr>
          <w:rFonts w:ascii="宋体" w:hAnsi="宋体" w:cs="宋体"/>
          <w:szCs w:val="21"/>
        </w:rPr>
      </w:pPr>
    </w:p>
    <w:p>
      <w:pPr>
        <w:pStyle w:val="8"/>
        <w:numPr>
          <w:ilvl w:val="0"/>
          <w:numId w:val="20"/>
        </w:numPr>
        <w:tabs>
          <w:tab w:val="left" w:pos="3960"/>
          <w:tab w:val="clear" w:pos="720"/>
        </w:tabs>
        <w:ind w:left="3960"/>
        <w:rPr>
          <w:rFonts w:ascii="宋体" w:hAnsi="宋体" w:eastAsia="宋体" w:cs="宋体"/>
        </w:rPr>
      </w:pPr>
      <w:r>
        <w:rPr>
          <w:rFonts w:hint="eastAsia" w:ascii="宋体" w:hAnsi="宋体" w:eastAsia="宋体" w:cs="宋体"/>
        </w:rPr>
        <w:t>评标要求</w:t>
      </w:r>
    </w:p>
    <w:p>
      <w:pPr>
        <w:keepNext/>
        <w:keepLines/>
        <w:adjustRightInd w:val="0"/>
        <w:spacing w:before="231" w:beforeLines="50" w:after="231" w:afterLines="50"/>
        <w:textAlignment w:val="baseline"/>
        <w:outlineLvl w:val="1"/>
        <w:rPr>
          <w:rFonts w:ascii="宋体" w:hAnsi="宋体" w:cs="宋体"/>
          <w:b/>
          <w:bCs/>
          <w:sz w:val="28"/>
          <w:szCs w:val="28"/>
        </w:rPr>
      </w:pPr>
    </w:p>
    <w:p>
      <w:pPr>
        <w:spacing w:line="360" w:lineRule="auto"/>
        <w:rPr>
          <w:rFonts w:ascii="宋体" w:hAnsi="宋体" w:cs="宋体"/>
          <w:sz w:val="24"/>
        </w:rPr>
      </w:pPr>
      <w:r>
        <w:rPr>
          <w:rFonts w:hint="eastAsia" w:ascii="宋体" w:hAnsi="宋体" w:eastAsia="宋体" w:cs="宋体"/>
          <w:sz w:val="24"/>
        </w:rPr>
        <w:t>29．评审委员会组成</w:t>
      </w:r>
    </w:p>
    <w:p>
      <w:pPr>
        <w:ind w:firstLine="411" w:firstLineChars="196"/>
        <w:rPr>
          <w:rFonts w:ascii="宋体" w:hAnsi="宋体" w:cs="宋体"/>
        </w:rPr>
      </w:pPr>
      <w:r>
        <w:rPr>
          <w:rFonts w:hint="eastAsia" w:ascii="宋体" w:hAnsi="宋体" w:eastAsia="宋体" w:cs="宋体"/>
        </w:rPr>
        <w:t>29.1开标结束后召开评标会议，评审委员会由医院采购机构依法组建，负责评标活动。</w:t>
      </w:r>
    </w:p>
    <w:p>
      <w:pPr>
        <w:ind w:firstLine="420"/>
        <w:rPr>
          <w:rFonts w:ascii="宋体" w:hAnsi="宋体" w:cs="宋体"/>
        </w:rPr>
      </w:pPr>
      <w:r>
        <w:rPr>
          <w:rFonts w:hint="eastAsia" w:ascii="宋体" w:hAnsi="宋体" w:eastAsia="宋体" w:cs="宋体"/>
        </w:rPr>
        <w:t>评标委员会由采购人代表和评审专家组成，成员人数为5人以上（含5人）单数，其中评审专家不少于成员总数的三分之二。</w:t>
      </w:r>
    </w:p>
    <w:p>
      <w:pPr>
        <w:ind w:firstLine="411" w:firstLineChars="196"/>
        <w:rPr>
          <w:rFonts w:ascii="宋体" w:hAnsi="宋体" w:cs="宋体"/>
        </w:rPr>
      </w:pPr>
      <w:r>
        <w:rPr>
          <w:rFonts w:hint="eastAsia" w:ascii="宋体" w:hAnsi="宋体" w:eastAsia="宋体" w:cs="宋体"/>
        </w:rPr>
        <w:t>为保证评委人选的专业性，以及评标中的公平公正性，评标委员会成员从深圳大学总医院评标专家库中随机抽取。</w:t>
      </w:r>
    </w:p>
    <w:p>
      <w:pPr>
        <w:ind w:firstLine="411" w:firstLineChars="196"/>
        <w:rPr>
          <w:rFonts w:ascii="宋体" w:hAnsi="宋体" w:cs="宋体"/>
        </w:rPr>
      </w:pPr>
      <w:r>
        <w:rPr>
          <w:rFonts w:hint="eastAsia" w:ascii="宋体" w:hAnsi="宋体" w:eastAsia="宋体" w:cs="宋体"/>
        </w:rPr>
        <w:t>29.2评标定标应当遵循公平、公正、科学、择优的原则。</w:t>
      </w:r>
    </w:p>
    <w:p>
      <w:pPr>
        <w:ind w:firstLine="411" w:firstLineChars="196"/>
        <w:rPr>
          <w:rFonts w:ascii="宋体" w:hAnsi="宋体" w:cs="宋体"/>
        </w:rPr>
      </w:pPr>
      <w:r>
        <w:rPr>
          <w:rFonts w:hint="eastAsia" w:ascii="宋体" w:hAnsi="宋体" w:eastAsia="宋体" w:cs="宋体"/>
        </w:rPr>
        <w:t>29.3评标活动依法进行，任何单位和个人不得非法干预评标过程和结果。</w:t>
      </w:r>
    </w:p>
    <w:p>
      <w:pPr>
        <w:ind w:firstLine="411" w:firstLineChars="196"/>
        <w:rPr>
          <w:rFonts w:ascii="宋体" w:hAnsi="宋体" w:cs="宋体"/>
        </w:rPr>
      </w:pPr>
      <w:r>
        <w:rPr>
          <w:rFonts w:hint="eastAsia" w:ascii="宋体" w:hAnsi="宋体" w:eastAsia="宋体" w:cs="宋体"/>
        </w:rPr>
        <w:t>29.4评标过程中不允许违背评标程序或采用招标文件未载明的评标方法或评标因素进行评标。</w:t>
      </w:r>
    </w:p>
    <w:p>
      <w:pPr>
        <w:ind w:firstLine="411" w:firstLineChars="196"/>
        <w:rPr>
          <w:rFonts w:ascii="宋体" w:hAnsi="宋体" w:cs="宋体"/>
          <w:bCs/>
        </w:rPr>
      </w:pPr>
      <w:r>
        <w:rPr>
          <w:rFonts w:hint="eastAsia" w:ascii="宋体" w:hAnsi="宋体" w:eastAsia="宋体" w:cs="宋体"/>
          <w:bCs/>
        </w:rPr>
        <w:t>29.5 开标后，直到签订合同为止，凡属于对投标文件的审查、澄清、评价和比较的有关资料以及中标候选人的推荐情况、与评标有关的其他任何情况均严格保密（信息公开的内容除外）。</w:t>
      </w:r>
    </w:p>
    <w:p>
      <w:pPr>
        <w:spacing w:line="360" w:lineRule="auto"/>
        <w:rPr>
          <w:rFonts w:ascii="宋体" w:hAnsi="宋体" w:cs="宋体"/>
          <w:sz w:val="24"/>
        </w:rPr>
      </w:pPr>
      <w:r>
        <w:rPr>
          <w:rFonts w:hint="eastAsia" w:ascii="宋体" w:hAnsi="宋体" w:eastAsia="宋体" w:cs="宋体"/>
          <w:sz w:val="24"/>
        </w:rPr>
        <w:t>30．向评审委员会提供的资料</w:t>
      </w:r>
    </w:p>
    <w:p>
      <w:pPr>
        <w:ind w:firstLine="411" w:firstLineChars="196"/>
        <w:rPr>
          <w:rFonts w:ascii="宋体" w:hAnsi="宋体" w:cs="宋体"/>
        </w:rPr>
      </w:pPr>
      <w:r>
        <w:rPr>
          <w:rFonts w:hint="eastAsia" w:ascii="宋体" w:hAnsi="宋体" w:eastAsia="宋体" w:cs="宋体"/>
        </w:rPr>
        <w:t>30.1公开发布的招标文件，包括图纸、服务清单、答疑文件等；</w:t>
      </w:r>
    </w:p>
    <w:p>
      <w:pPr>
        <w:ind w:firstLine="411" w:firstLineChars="196"/>
        <w:rPr>
          <w:rFonts w:ascii="宋体" w:hAnsi="宋体" w:cs="宋体"/>
        </w:rPr>
      </w:pPr>
      <w:r>
        <w:rPr>
          <w:rFonts w:hint="eastAsia" w:ascii="宋体" w:hAnsi="宋体" w:eastAsia="宋体" w:cs="宋体"/>
        </w:rPr>
        <w:t>30.2其他评标必须的资料。</w:t>
      </w:r>
    </w:p>
    <w:p>
      <w:pPr>
        <w:ind w:firstLine="411" w:firstLineChars="196"/>
        <w:rPr>
          <w:rFonts w:ascii="宋体" w:hAnsi="宋体" w:cs="宋体"/>
        </w:rPr>
      </w:pPr>
      <w:r>
        <w:rPr>
          <w:rFonts w:hint="eastAsia" w:ascii="宋体" w:hAnsi="宋体" w:eastAsia="宋体" w:cs="宋体"/>
        </w:rPr>
        <w:t>30.3评审委员会应当认真研究招标文件，至少应了解熟悉以下内容：</w:t>
      </w:r>
    </w:p>
    <w:p>
      <w:pPr>
        <w:ind w:firstLine="411" w:firstLineChars="196"/>
        <w:rPr>
          <w:rFonts w:ascii="宋体" w:hAnsi="宋体" w:cs="宋体"/>
        </w:rPr>
      </w:pPr>
      <w:r>
        <w:rPr>
          <w:rFonts w:hint="eastAsia" w:ascii="宋体" w:hAnsi="宋体" w:eastAsia="宋体" w:cs="宋体"/>
        </w:rPr>
        <w:t>（1）招标的目的；</w:t>
      </w:r>
    </w:p>
    <w:p>
      <w:pPr>
        <w:ind w:firstLine="411" w:firstLineChars="196"/>
        <w:rPr>
          <w:rFonts w:ascii="宋体" w:hAnsi="宋体" w:cs="宋体"/>
        </w:rPr>
      </w:pPr>
      <w:r>
        <w:rPr>
          <w:rFonts w:hint="eastAsia" w:ascii="宋体" w:hAnsi="宋体" w:eastAsia="宋体" w:cs="宋体"/>
        </w:rPr>
        <w:t>（2）招标项目需求的范围和性质；</w:t>
      </w:r>
    </w:p>
    <w:p>
      <w:pPr>
        <w:ind w:firstLine="411" w:firstLineChars="196"/>
        <w:rPr>
          <w:rFonts w:ascii="宋体" w:hAnsi="宋体" w:cs="宋体"/>
        </w:rPr>
      </w:pPr>
      <w:r>
        <w:rPr>
          <w:rFonts w:hint="eastAsia" w:ascii="宋体" w:hAnsi="宋体" w:eastAsia="宋体" w:cs="宋体"/>
        </w:rPr>
        <w:t>（3）招标文件规定的投标人的资格、财政预算限额、商务条款；</w:t>
      </w:r>
    </w:p>
    <w:p>
      <w:pPr>
        <w:ind w:firstLine="411" w:firstLineChars="196"/>
        <w:rPr>
          <w:rFonts w:ascii="宋体" w:hAnsi="宋体" w:cs="宋体"/>
        </w:rPr>
      </w:pPr>
      <w:r>
        <w:rPr>
          <w:rFonts w:hint="eastAsia" w:ascii="宋体" w:hAnsi="宋体" w:eastAsia="宋体" w:cs="宋体"/>
        </w:rPr>
        <w:t>（4）招标文件规定的评标程序、评标方法和评标因素；</w:t>
      </w:r>
    </w:p>
    <w:p>
      <w:pPr>
        <w:ind w:firstLine="411" w:firstLineChars="196"/>
        <w:rPr>
          <w:rFonts w:ascii="宋体" w:hAnsi="宋体" w:cs="宋体"/>
        </w:rPr>
      </w:pPr>
      <w:r>
        <w:rPr>
          <w:rFonts w:hint="eastAsia" w:ascii="宋体" w:hAnsi="宋体" w:eastAsia="宋体" w:cs="宋体"/>
        </w:rPr>
        <w:t>（5）招标文件所列示的资格性审查表及符合性审查表；</w:t>
      </w:r>
    </w:p>
    <w:p>
      <w:pPr>
        <w:spacing w:line="360" w:lineRule="auto"/>
        <w:rPr>
          <w:rFonts w:ascii="宋体" w:hAnsi="宋体" w:cs="宋体"/>
          <w:sz w:val="24"/>
        </w:rPr>
      </w:pPr>
      <w:r>
        <w:rPr>
          <w:rFonts w:hint="eastAsia" w:ascii="宋体" w:hAnsi="宋体" w:eastAsia="宋体" w:cs="宋体"/>
          <w:sz w:val="24"/>
        </w:rPr>
        <w:t>31．独立评标</w:t>
      </w:r>
    </w:p>
    <w:p>
      <w:pPr>
        <w:ind w:firstLine="411" w:firstLineChars="196"/>
        <w:rPr>
          <w:rFonts w:ascii="宋体" w:hAnsi="宋体" w:cs="宋体"/>
          <w:bCs/>
        </w:rPr>
      </w:pPr>
      <w:r>
        <w:rPr>
          <w:rFonts w:hint="eastAsia" w:ascii="宋体" w:hAnsi="宋体" w:eastAsia="宋体" w:cs="宋体"/>
          <w:bCs/>
        </w:rPr>
        <w:t>30.1评审委员会成员的评标活动应当独立进行，并应遵循投标文件初审、澄清有关问题、比较与评价、确定中标供应商、编写评标报告的工作程序。</w:t>
      </w:r>
    </w:p>
    <w:p>
      <w:pPr>
        <w:ind w:firstLine="411" w:firstLineChars="196"/>
        <w:rPr>
          <w:rFonts w:ascii="宋体" w:hAnsi="宋体" w:cs="宋体"/>
          <w:bCs/>
        </w:rPr>
      </w:pPr>
    </w:p>
    <w:p>
      <w:pPr>
        <w:pStyle w:val="8"/>
        <w:numPr>
          <w:ilvl w:val="0"/>
          <w:numId w:val="20"/>
        </w:numPr>
        <w:tabs>
          <w:tab w:val="left" w:pos="3960"/>
          <w:tab w:val="clear" w:pos="720"/>
        </w:tabs>
        <w:ind w:left="3960"/>
        <w:rPr>
          <w:rFonts w:ascii="宋体" w:hAnsi="宋体" w:eastAsia="宋体" w:cs="宋体"/>
        </w:rPr>
      </w:pPr>
      <w:r>
        <w:rPr>
          <w:rFonts w:hint="eastAsia" w:ascii="宋体" w:hAnsi="宋体" w:eastAsia="宋体" w:cs="宋体"/>
        </w:rPr>
        <w:t>评标程序及评标方法</w:t>
      </w:r>
    </w:p>
    <w:p>
      <w:pPr>
        <w:keepNext/>
        <w:keepLines/>
        <w:adjustRightInd w:val="0"/>
        <w:spacing w:before="231" w:beforeLines="50" w:after="231" w:afterLines="50"/>
        <w:textAlignment w:val="baseline"/>
        <w:outlineLvl w:val="1"/>
        <w:rPr>
          <w:rFonts w:ascii="宋体" w:hAnsi="宋体" w:cs="宋体"/>
          <w:b/>
          <w:bCs/>
          <w:sz w:val="28"/>
          <w:szCs w:val="28"/>
        </w:rPr>
      </w:pPr>
    </w:p>
    <w:p>
      <w:pPr>
        <w:spacing w:line="360" w:lineRule="auto"/>
        <w:rPr>
          <w:rFonts w:ascii="宋体" w:hAnsi="宋体" w:cs="宋体"/>
          <w:sz w:val="24"/>
        </w:rPr>
      </w:pPr>
      <w:r>
        <w:rPr>
          <w:rFonts w:hint="eastAsia" w:ascii="宋体" w:hAnsi="宋体" w:eastAsia="宋体" w:cs="宋体"/>
          <w:sz w:val="24"/>
        </w:rPr>
        <w:t>32．投标文件初审</w:t>
      </w:r>
    </w:p>
    <w:p>
      <w:pPr>
        <w:ind w:firstLine="411" w:firstLineChars="196"/>
        <w:rPr>
          <w:rFonts w:ascii="宋体" w:hAnsi="宋体" w:cs="宋体"/>
        </w:rPr>
      </w:pPr>
      <w:r>
        <w:rPr>
          <w:rFonts w:hint="eastAsia" w:ascii="宋体" w:hAnsi="宋体" w:eastAsia="宋体" w:cs="宋体"/>
        </w:rPr>
        <w:t>32.1投标文件初审包括资格性审查和符合性审查。资格性审查：依据法律法规和招标文件的规定，对投标文件中的资格证明等进行审查，以确定投标供应商是否具备投标资格。符合性审查：依据招标文件的规定，对投标文件的有效性、完整性和对招标文件的响应程度进行审查，以确定是否满足符合性审查的要求。</w:t>
      </w:r>
    </w:p>
    <w:p>
      <w:pPr>
        <w:ind w:firstLine="411" w:firstLineChars="196"/>
        <w:rPr>
          <w:rFonts w:ascii="宋体" w:hAnsi="宋体" w:cs="宋体"/>
        </w:rPr>
      </w:pPr>
      <w:r>
        <w:rPr>
          <w:rFonts w:hint="eastAsia" w:ascii="宋体" w:hAnsi="宋体" w:eastAsia="宋体" w:cs="宋体"/>
        </w:rPr>
        <w:t>32.2投标文件初审内容请详见《资格性审查表》和《符合性审查表》部分。投标人若有一条审查不通过则按投标无效处理。评审委员会对投标单位打√为通过审查，打×为未通过审查。</w:t>
      </w:r>
    </w:p>
    <w:p>
      <w:pPr>
        <w:ind w:firstLine="411" w:firstLineChars="196"/>
        <w:rPr>
          <w:rFonts w:ascii="宋体" w:hAnsi="宋体" w:cs="宋体"/>
        </w:rPr>
      </w:pPr>
      <w:r>
        <w:rPr>
          <w:rFonts w:hint="eastAsia" w:ascii="宋体" w:hAnsi="宋体" w:eastAsia="宋体" w:cs="宋体"/>
        </w:rPr>
        <w:t>32.3 投标文件初审中关于供应商家数的计算:</w:t>
      </w:r>
    </w:p>
    <w:p>
      <w:pPr>
        <w:ind w:firstLine="411" w:firstLineChars="196"/>
        <w:rPr>
          <w:rFonts w:ascii="宋体" w:hAnsi="宋体" w:cs="宋体"/>
        </w:rPr>
      </w:pPr>
      <w:r>
        <w:rPr>
          <w:rFonts w:hint="eastAsia" w:ascii="宋体" w:hAnsi="宋体" w:eastAsia="宋体" w:cs="宋体"/>
        </w:rPr>
        <w:t>32.3.1采用最低评标价法的采购项目，提供相同品牌产品的不同投标人参加同一合同项下投标的，以其中通过资格审查、符合性审查且报价最低的参加评标；报价相同的，由采购人或者采购人委托评审委员会按照招标文件规定的方式确定一个参加评标的投标人，招标文件未规定的采取随机抽取方式确定，其他投标无效。</w:t>
      </w:r>
    </w:p>
    <w:p>
      <w:pPr>
        <w:ind w:firstLine="411" w:firstLineChars="196"/>
        <w:rPr>
          <w:rFonts w:ascii="宋体" w:hAnsi="宋体" w:cs="宋体"/>
        </w:rPr>
      </w:pPr>
      <w:r>
        <w:rPr>
          <w:rFonts w:hint="eastAsia" w:ascii="宋体" w:hAnsi="宋体" w:eastAsia="宋体" w:cs="宋体"/>
        </w:rPr>
        <w:t>32.3.2采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审委员会按照招标文件规定的方式确定一个投标人获得中标人推荐资格，招标文件未规定的采取随机抽取方式确定，其他同品牌投标人不作为中标候选人。</w:t>
      </w:r>
    </w:p>
    <w:p>
      <w:pPr>
        <w:ind w:firstLine="411" w:firstLineChars="196"/>
        <w:rPr>
          <w:rFonts w:ascii="宋体" w:hAnsi="宋体" w:cs="宋体"/>
        </w:rPr>
      </w:pPr>
      <w:r>
        <w:rPr>
          <w:rFonts w:hint="eastAsia" w:ascii="宋体" w:hAnsi="宋体" w:eastAsia="宋体" w:cs="宋体"/>
        </w:rPr>
        <w:t>32.3.3非单一产品采购项目，采购人应当根据采购项目技术构成、产品价格比重等合理确定核心产品，并在招标文件中载明。多家投标人提供的核心产品品牌相同的，按前两款规定处理。</w:t>
      </w:r>
    </w:p>
    <w:p>
      <w:pPr>
        <w:ind w:firstLine="411" w:firstLineChars="196"/>
        <w:rPr>
          <w:rFonts w:ascii="宋体" w:hAnsi="宋体" w:cs="宋体"/>
        </w:rPr>
      </w:pPr>
      <w:r>
        <w:rPr>
          <w:rFonts w:hint="eastAsia" w:ascii="宋体" w:hAnsi="宋体" w:eastAsia="宋体" w:cs="宋体"/>
        </w:rPr>
        <w:t>32.4评审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ind w:firstLine="411" w:firstLineChars="196"/>
        <w:rPr>
          <w:rFonts w:ascii="宋体" w:hAnsi="宋体" w:cs="宋体"/>
        </w:rPr>
      </w:pPr>
      <w:r>
        <w:rPr>
          <w:rFonts w:hint="eastAsia" w:ascii="宋体" w:hAnsi="宋体" w:eastAsia="宋体" w:cs="宋体"/>
        </w:rPr>
        <w:t>32.5投标人投标文件作无效处理的情形，具体包括但不限于以下：</w:t>
      </w:r>
    </w:p>
    <w:p>
      <w:pPr>
        <w:ind w:firstLine="411" w:firstLineChars="196"/>
        <w:rPr>
          <w:rFonts w:ascii="宋体" w:hAnsi="宋体" w:cs="宋体"/>
        </w:rPr>
      </w:pPr>
      <w:r>
        <w:rPr>
          <w:rFonts w:hint="eastAsia" w:ascii="宋体" w:hAnsi="宋体" w:eastAsia="宋体" w:cs="宋体"/>
        </w:rPr>
        <w:t>32.5.1不同投标人的投标文件由同一单位或者同一个人编制，或者由同一个人分阶段参与编制；</w:t>
      </w:r>
    </w:p>
    <w:p>
      <w:pPr>
        <w:ind w:firstLine="411" w:firstLineChars="196"/>
        <w:rPr>
          <w:rFonts w:ascii="宋体" w:hAnsi="宋体" w:cs="宋体"/>
        </w:rPr>
      </w:pPr>
      <w:r>
        <w:rPr>
          <w:rFonts w:hint="eastAsia" w:ascii="宋体" w:hAnsi="宋体" w:eastAsia="宋体" w:cs="宋体"/>
        </w:rPr>
        <w:t>32.5.2不同投标人委托同一单位或者个人办理投标事宜；</w:t>
      </w:r>
    </w:p>
    <w:p>
      <w:pPr>
        <w:ind w:firstLine="411" w:firstLineChars="196"/>
        <w:rPr>
          <w:rFonts w:ascii="宋体" w:hAnsi="宋体" w:cs="宋体"/>
        </w:rPr>
      </w:pPr>
      <w:r>
        <w:rPr>
          <w:rFonts w:hint="eastAsia" w:ascii="宋体" w:hAnsi="宋体" w:eastAsia="宋体" w:cs="宋体"/>
        </w:rPr>
        <w:t>32.5.3不同投标人的投标文件载明的项目管理成员或者联系人员为同一人；</w:t>
      </w:r>
    </w:p>
    <w:p>
      <w:pPr>
        <w:ind w:firstLine="411" w:firstLineChars="196"/>
        <w:rPr>
          <w:rFonts w:ascii="宋体" w:hAnsi="宋体" w:cs="宋体"/>
        </w:rPr>
      </w:pPr>
      <w:r>
        <w:rPr>
          <w:rFonts w:hint="eastAsia" w:ascii="宋体" w:hAnsi="宋体" w:eastAsia="宋体" w:cs="宋体"/>
        </w:rPr>
        <w:t>32.5.4不同投标人的投标文件异常一致或者投标报价呈规律性差异；</w:t>
      </w:r>
    </w:p>
    <w:p>
      <w:pPr>
        <w:ind w:firstLine="411" w:firstLineChars="196"/>
        <w:rPr>
          <w:rFonts w:ascii="宋体" w:hAnsi="宋体" w:cs="宋体"/>
        </w:rPr>
      </w:pPr>
      <w:r>
        <w:rPr>
          <w:rFonts w:hint="eastAsia" w:ascii="宋体" w:hAnsi="宋体" w:eastAsia="宋体" w:cs="宋体"/>
        </w:rPr>
        <w:t>32.5.5不同投标人的投标文件或部分投标文件相互混装；</w:t>
      </w:r>
    </w:p>
    <w:p>
      <w:pPr>
        <w:ind w:firstLine="411" w:firstLineChars="196"/>
        <w:rPr>
          <w:rFonts w:ascii="宋体" w:hAnsi="宋体" w:cs="宋体"/>
        </w:rPr>
      </w:pPr>
      <w:r>
        <w:rPr>
          <w:rFonts w:hint="eastAsia" w:ascii="宋体" w:hAnsi="宋体" w:eastAsia="宋体" w:cs="宋体"/>
        </w:rPr>
        <w:t>32.5.6投标供应商之间相互约定给予未中标的供应商利益补偿；</w:t>
      </w:r>
    </w:p>
    <w:p>
      <w:pPr>
        <w:ind w:firstLine="411" w:firstLineChars="196"/>
        <w:rPr>
          <w:rFonts w:ascii="宋体" w:hAnsi="宋体" w:cs="宋体"/>
        </w:rPr>
      </w:pPr>
      <w:r>
        <w:rPr>
          <w:rFonts w:hint="eastAsia" w:ascii="宋体" w:hAnsi="宋体" w:eastAsia="宋体" w:cs="宋体"/>
        </w:rPr>
        <w:t>32.5.7不同投标供应商的法定代表人、主要经营负责人、项目投标授权代表人、项目负责人、主要技术人员为同一人、属同一单位或者同一单位缴纳社会保险；</w:t>
      </w:r>
    </w:p>
    <w:p>
      <w:pPr>
        <w:ind w:firstLine="411" w:firstLineChars="196"/>
        <w:rPr>
          <w:rFonts w:ascii="宋体" w:hAnsi="宋体" w:cs="宋体"/>
        </w:rPr>
      </w:pPr>
      <w:r>
        <w:rPr>
          <w:rFonts w:hint="eastAsia" w:ascii="宋体" w:hAnsi="宋体" w:eastAsia="宋体" w:cs="宋体"/>
        </w:rPr>
        <w:t>32.5.8不同投标供应商的投标文件内容存在非正常一致；</w:t>
      </w:r>
    </w:p>
    <w:p>
      <w:pPr>
        <w:ind w:firstLine="411" w:firstLineChars="196"/>
        <w:rPr>
          <w:rFonts w:ascii="宋体" w:hAnsi="宋体" w:cs="宋体"/>
        </w:rPr>
      </w:pPr>
      <w:r>
        <w:rPr>
          <w:rFonts w:hint="eastAsia" w:ascii="宋体" w:hAnsi="宋体" w:eastAsia="宋体" w:cs="宋体"/>
        </w:rPr>
        <w:t>32.5.9在同一单位工作人员为两家以上（含两家）供应商进行同一项投标活动；</w:t>
      </w:r>
    </w:p>
    <w:p>
      <w:pPr>
        <w:ind w:firstLine="411" w:firstLineChars="196"/>
        <w:rPr>
          <w:rFonts w:ascii="宋体" w:hAnsi="宋体" w:cs="宋体"/>
        </w:rPr>
      </w:pPr>
      <w:r>
        <w:rPr>
          <w:rFonts w:hint="eastAsia" w:ascii="宋体" w:hAnsi="宋体" w:eastAsia="宋体" w:cs="宋体"/>
        </w:rPr>
        <w:t>32.5.10主管部门依照法律、法规认定的其他情形。</w:t>
      </w:r>
    </w:p>
    <w:p>
      <w:pPr>
        <w:ind w:firstLine="411" w:firstLineChars="196"/>
        <w:rPr>
          <w:rFonts w:ascii="宋体" w:hAnsi="宋体" w:cs="宋体"/>
        </w:rPr>
      </w:pPr>
      <w:r>
        <w:rPr>
          <w:rFonts w:hint="eastAsia" w:ascii="宋体" w:hAnsi="宋体" w:eastAsia="宋体" w:cs="宋体"/>
        </w:rPr>
        <w:t>32.6 对不属于《资格性审查表》和《符合性审查表》所列的其他情形，除专用条款另有规定和32.5条款所列情形外，不得作为投标无效的理由。</w:t>
      </w:r>
    </w:p>
    <w:p>
      <w:pPr>
        <w:spacing w:line="360" w:lineRule="auto"/>
        <w:rPr>
          <w:rFonts w:ascii="宋体" w:hAnsi="宋体" w:cs="宋体"/>
          <w:sz w:val="24"/>
        </w:rPr>
      </w:pPr>
      <w:r>
        <w:rPr>
          <w:rFonts w:hint="eastAsia" w:ascii="宋体" w:hAnsi="宋体" w:eastAsia="宋体" w:cs="宋体"/>
          <w:sz w:val="24"/>
        </w:rPr>
        <w:t>33．澄清有关问题</w:t>
      </w:r>
    </w:p>
    <w:p>
      <w:pPr>
        <w:ind w:firstLine="411" w:firstLineChars="196"/>
        <w:rPr>
          <w:rFonts w:ascii="宋体" w:hAnsi="宋体" w:cs="宋体"/>
          <w:szCs w:val="21"/>
        </w:rPr>
      </w:pPr>
      <w:r>
        <w:rPr>
          <w:rFonts w:hint="eastAsia" w:ascii="宋体" w:hAnsi="宋体" w:eastAsia="宋体" w:cs="宋体"/>
          <w:szCs w:val="21"/>
        </w:rPr>
        <w:t>对于投标文件中含义不明确、同类问题表述不一致或者有明显文字和计算错误的内容，评审委员会应当以书面形式要求投标人作出必要的澄清、说明或者补正。</w:t>
      </w:r>
    </w:p>
    <w:p>
      <w:pPr>
        <w:ind w:firstLine="411" w:firstLineChars="196"/>
        <w:rPr>
          <w:rFonts w:ascii="宋体" w:hAnsi="宋体" w:cs="宋体"/>
          <w:szCs w:val="21"/>
        </w:rPr>
      </w:pPr>
      <w:r>
        <w:rPr>
          <w:rFonts w:hint="eastAsia" w:ascii="宋体" w:hAnsi="宋体" w:eastAsia="宋体" w:cs="宋体"/>
          <w:szCs w:val="21"/>
        </w:rPr>
        <w:t>投标人的澄清、说明或者补正应当采用书面形式，并加盖公章，或者由法定代表人或其授权的代表签字。投标人的澄清、说明或者补正不得超出投标文件的范围或者改变投标文件的实质性内容。</w:t>
      </w:r>
    </w:p>
    <w:p>
      <w:pPr>
        <w:ind w:firstLine="411" w:firstLineChars="196"/>
        <w:rPr>
          <w:rFonts w:ascii="宋体" w:hAnsi="宋体" w:cs="宋体"/>
          <w:szCs w:val="21"/>
        </w:rPr>
      </w:pPr>
      <w:r>
        <w:rPr>
          <w:rFonts w:hint="eastAsia" w:ascii="宋体" w:hAnsi="宋体" w:eastAsia="宋体" w:cs="宋体"/>
          <w:szCs w:val="21"/>
        </w:rPr>
        <w:t>根据本通用条款第34条，凡属于评审委员会在评审中发现的算术错误进行核实的修改不在此列。</w:t>
      </w:r>
    </w:p>
    <w:p>
      <w:pPr>
        <w:spacing w:line="360" w:lineRule="auto"/>
        <w:rPr>
          <w:rFonts w:ascii="宋体" w:hAnsi="宋体" w:cs="宋体"/>
          <w:sz w:val="24"/>
        </w:rPr>
      </w:pPr>
      <w:r>
        <w:rPr>
          <w:rFonts w:hint="eastAsia" w:ascii="宋体" w:hAnsi="宋体" w:eastAsia="宋体" w:cs="宋体"/>
          <w:sz w:val="24"/>
        </w:rPr>
        <w:t>34．错误的修正</w:t>
      </w:r>
    </w:p>
    <w:p>
      <w:pPr>
        <w:ind w:firstLine="411" w:firstLineChars="196"/>
        <w:rPr>
          <w:rFonts w:ascii="宋体" w:hAnsi="宋体" w:cs="宋体"/>
          <w:szCs w:val="21"/>
        </w:rPr>
      </w:pPr>
      <w:r>
        <w:rPr>
          <w:rFonts w:hint="eastAsia" w:ascii="宋体" w:hAnsi="宋体" w:eastAsia="宋体" w:cs="宋体"/>
          <w:szCs w:val="21"/>
        </w:rPr>
        <w:t>投标文件报价出现前后不一致的，除专用条款另有规定外，按照下列规定修正：</w:t>
      </w:r>
    </w:p>
    <w:p>
      <w:pPr>
        <w:ind w:firstLine="411" w:firstLineChars="196"/>
        <w:rPr>
          <w:rFonts w:ascii="宋体" w:hAnsi="宋体" w:cs="宋体"/>
          <w:szCs w:val="21"/>
        </w:rPr>
      </w:pPr>
      <w:r>
        <w:rPr>
          <w:rFonts w:hint="eastAsia" w:ascii="宋体" w:hAnsi="宋体" w:eastAsia="宋体" w:cs="宋体"/>
          <w:szCs w:val="21"/>
        </w:rPr>
        <w:t>34.1投标文件中开标一览表内容与投标文件中相应内容不一致的，以开标一览表为准；</w:t>
      </w:r>
    </w:p>
    <w:p>
      <w:pPr>
        <w:ind w:firstLine="411" w:firstLineChars="196"/>
        <w:rPr>
          <w:rFonts w:ascii="宋体" w:hAnsi="宋体" w:cs="宋体"/>
          <w:szCs w:val="21"/>
        </w:rPr>
      </w:pPr>
      <w:r>
        <w:rPr>
          <w:rFonts w:hint="eastAsia" w:ascii="宋体" w:hAnsi="宋体" w:eastAsia="宋体" w:cs="宋体"/>
          <w:szCs w:val="21"/>
        </w:rPr>
        <w:t>34.2大写金额和小写金额不一致的，以大写金额为准；</w:t>
      </w:r>
    </w:p>
    <w:p>
      <w:pPr>
        <w:ind w:firstLine="411" w:firstLineChars="196"/>
        <w:rPr>
          <w:rFonts w:ascii="宋体" w:hAnsi="宋体" w:cs="宋体"/>
          <w:szCs w:val="21"/>
        </w:rPr>
      </w:pPr>
      <w:r>
        <w:rPr>
          <w:rFonts w:hint="eastAsia" w:ascii="宋体" w:hAnsi="宋体" w:eastAsia="宋体" w:cs="宋体"/>
          <w:szCs w:val="21"/>
        </w:rPr>
        <w:t>34.3单价金额小数点或者百分比有明显错位，以开标一览表的总价为准，并修改单价；</w:t>
      </w:r>
    </w:p>
    <w:p>
      <w:pPr>
        <w:ind w:firstLine="411" w:firstLineChars="196"/>
        <w:rPr>
          <w:rFonts w:ascii="宋体" w:hAnsi="宋体" w:cs="宋体"/>
          <w:szCs w:val="21"/>
        </w:rPr>
      </w:pPr>
      <w:r>
        <w:rPr>
          <w:rFonts w:hint="eastAsia" w:ascii="宋体" w:hAnsi="宋体" w:eastAsia="宋体" w:cs="宋体"/>
          <w:szCs w:val="21"/>
        </w:rPr>
        <w:t>34.4总价金额与按单价汇总金额不一致的，以单价金额计算结果为准。</w:t>
      </w:r>
    </w:p>
    <w:p>
      <w:pPr>
        <w:ind w:firstLine="411" w:firstLineChars="196"/>
        <w:rPr>
          <w:rFonts w:ascii="宋体" w:hAnsi="宋体" w:cs="宋体"/>
          <w:szCs w:val="21"/>
        </w:rPr>
      </w:pPr>
      <w:r>
        <w:rPr>
          <w:rFonts w:hint="eastAsia" w:ascii="宋体" w:hAnsi="宋体" w:eastAsia="宋体" w:cs="宋体"/>
          <w:szCs w:val="21"/>
        </w:rPr>
        <w:t>34.5同时出现两种以上不一致的，按照前款规定的顺序修正。修正后的报价按照本通用条款33条的规定，经投标人确认后产生约束力，投标人不确认的，其投标无效。</w:t>
      </w:r>
    </w:p>
    <w:p>
      <w:pPr>
        <w:spacing w:line="360" w:lineRule="auto"/>
        <w:rPr>
          <w:rFonts w:ascii="宋体" w:hAnsi="宋体" w:cs="宋体"/>
          <w:sz w:val="24"/>
        </w:rPr>
      </w:pPr>
      <w:r>
        <w:rPr>
          <w:rFonts w:hint="eastAsia" w:ascii="宋体" w:hAnsi="宋体" w:eastAsia="宋体" w:cs="宋体"/>
          <w:sz w:val="24"/>
        </w:rPr>
        <w:t>35．投标文件的比较与评价</w:t>
      </w:r>
    </w:p>
    <w:p>
      <w:pPr>
        <w:ind w:firstLine="411" w:firstLineChars="196"/>
        <w:rPr>
          <w:rFonts w:ascii="宋体" w:hAnsi="宋体" w:cs="宋体"/>
          <w:szCs w:val="21"/>
        </w:rPr>
      </w:pPr>
      <w:r>
        <w:rPr>
          <w:rFonts w:hint="eastAsia" w:ascii="宋体" w:hAnsi="宋体" w:eastAsia="宋体" w:cs="宋体"/>
          <w:szCs w:val="21"/>
        </w:rPr>
        <w:t>评审委员会将按照《深圳经济特区政府采购条例》、《深圳经济特区政府采购条例实施细则》及《深圳市政府采购评审委员会和评标方法暂行规定》，参照相关法律、法规、规定，仅对通过资格性审查和符合性审查的投标文件进行综合比较与评价。</w:t>
      </w:r>
    </w:p>
    <w:p>
      <w:pPr>
        <w:ind w:firstLine="411" w:firstLineChars="196"/>
        <w:rPr>
          <w:rFonts w:ascii="宋体" w:hAnsi="宋体" w:cs="宋体"/>
          <w:szCs w:val="21"/>
        </w:rPr>
      </w:pPr>
      <w:r>
        <w:rPr>
          <w:rFonts w:hint="eastAsia" w:ascii="宋体" w:hAnsi="宋体" w:eastAsia="宋体" w:cs="宋体"/>
          <w:szCs w:val="21"/>
        </w:rPr>
        <w:t>评审委员会成员对需要共同认定的事项存在争议的，应当按照少数服从多数的原则作出结论。持不同意见的评审委员会成员应当在评标报告上签署不同意见及理由，否则视为同意评标报告。</w:t>
      </w:r>
    </w:p>
    <w:p>
      <w:pPr>
        <w:spacing w:line="360" w:lineRule="auto"/>
        <w:rPr>
          <w:rFonts w:ascii="宋体" w:hAnsi="宋体" w:cs="宋体"/>
          <w:sz w:val="24"/>
        </w:rPr>
      </w:pPr>
      <w:r>
        <w:rPr>
          <w:rFonts w:hint="eastAsia" w:ascii="宋体" w:hAnsi="宋体" w:eastAsia="宋体" w:cs="宋体"/>
          <w:sz w:val="24"/>
        </w:rPr>
        <w:t>36.实地考察、演示或设备测试</w:t>
      </w:r>
    </w:p>
    <w:p>
      <w:pPr>
        <w:ind w:firstLine="411" w:firstLineChars="196"/>
        <w:rPr>
          <w:rFonts w:ascii="宋体" w:hAnsi="宋体" w:cs="宋体"/>
          <w:szCs w:val="21"/>
        </w:rPr>
      </w:pPr>
      <w:r>
        <w:rPr>
          <w:rFonts w:hint="eastAsia" w:ascii="宋体" w:hAnsi="宋体" w:eastAsia="宋体" w:cs="宋体"/>
          <w:szCs w:val="21"/>
        </w:rPr>
        <w:t>36.1在招标过程中，评审委员会有权决定是否对本项目投标人进行现场勘察或实地考察或检验有关证明材料的原件。投标人应随时做好接受检查的准备。</w:t>
      </w:r>
    </w:p>
    <w:p>
      <w:pPr>
        <w:ind w:firstLine="411" w:firstLineChars="196"/>
        <w:rPr>
          <w:rFonts w:ascii="宋体" w:hAnsi="宋体" w:cs="宋体"/>
          <w:szCs w:val="21"/>
        </w:rPr>
      </w:pPr>
      <w:r>
        <w:rPr>
          <w:rFonts w:hint="eastAsia" w:ascii="宋体" w:hAnsi="宋体" w:eastAsia="宋体" w:cs="宋体"/>
          <w:szCs w:val="21"/>
        </w:rPr>
        <w:t>36.2若招标文件要求进行现场演示或设备测试的，投标人应做好相应准备。</w:t>
      </w:r>
    </w:p>
    <w:p>
      <w:pPr>
        <w:spacing w:line="360" w:lineRule="auto"/>
        <w:rPr>
          <w:rFonts w:ascii="宋体" w:hAnsi="宋体" w:cs="宋体"/>
          <w:sz w:val="24"/>
        </w:rPr>
      </w:pPr>
      <w:r>
        <w:rPr>
          <w:rFonts w:hint="eastAsia" w:ascii="宋体" w:hAnsi="宋体" w:eastAsia="宋体" w:cs="宋体"/>
          <w:sz w:val="24"/>
        </w:rPr>
        <w:t>37．评标方法</w:t>
      </w:r>
    </w:p>
    <w:p>
      <w:pPr>
        <w:ind w:firstLine="413" w:firstLineChars="196"/>
        <w:rPr>
          <w:rFonts w:ascii="宋体" w:hAnsi="宋体" w:cs="宋体"/>
          <w:b/>
          <w:bCs/>
          <w:szCs w:val="21"/>
        </w:rPr>
      </w:pPr>
      <w:r>
        <w:rPr>
          <w:rFonts w:hint="eastAsia" w:ascii="宋体" w:hAnsi="宋体" w:eastAsia="宋体" w:cs="宋体"/>
          <w:b/>
          <w:bCs/>
          <w:szCs w:val="21"/>
        </w:rPr>
        <w:t>37.1最低价法</w:t>
      </w:r>
    </w:p>
    <w:p>
      <w:pPr>
        <w:ind w:firstLine="411" w:firstLineChars="196"/>
        <w:rPr>
          <w:rFonts w:ascii="宋体" w:hAnsi="宋体" w:cs="宋体"/>
          <w:bCs/>
          <w:szCs w:val="21"/>
        </w:rPr>
      </w:pPr>
      <w:r>
        <w:rPr>
          <w:rFonts w:hint="eastAsia" w:ascii="宋体" w:hAnsi="宋体" w:eastAsia="宋体" w:cs="宋体"/>
          <w:bCs/>
          <w:szCs w:val="21"/>
        </w:rPr>
        <w:t>最低评标价法，是指投标文件满足招标文件全部实质性要求，且投标报价最低的投标人为中标候选人的评标方法。</w:t>
      </w:r>
    </w:p>
    <w:p>
      <w:pPr>
        <w:ind w:firstLine="413" w:firstLineChars="196"/>
        <w:rPr>
          <w:rFonts w:ascii="宋体" w:hAnsi="宋体" w:cs="宋体"/>
          <w:b/>
          <w:bCs/>
          <w:szCs w:val="21"/>
        </w:rPr>
      </w:pPr>
      <w:r>
        <w:rPr>
          <w:rFonts w:hint="eastAsia" w:ascii="宋体" w:hAnsi="宋体" w:eastAsia="宋体" w:cs="宋体"/>
          <w:b/>
          <w:bCs/>
          <w:szCs w:val="21"/>
        </w:rPr>
        <w:t>37.2综合评分法</w:t>
      </w:r>
    </w:p>
    <w:p>
      <w:pPr>
        <w:ind w:firstLine="411" w:firstLineChars="196"/>
        <w:rPr>
          <w:rFonts w:ascii="宋体" w:hAnsi="宋体" w:cs="宋体"/>
          <w:bCs/>
          <w:szCs w:val="21"/>
        </w:rPr>
      </w:pPr>
      <w:r>
        <w:rPr>
          <w:rFonts w:hint="eastAsia" w:ascii="宋体" w:hAnsi="宋体" w:eastAsia="宋体" w:cs="宋体"/>
          <w:bCs/>
          <w:szCs w:val="21"/>
        </w:rPr>
        <w:t>综合评分法，是指投标文件满足招标文件全部实质性要求，且按照评审因素的量化指标评审得分最高的投标人为中标候选人的评标方法。</w:t>
      </w:r>
    </w:p>
    <w:p>
      <w:pPr>
        <w:ind w:firstLine="413" w:firstLineChars="196"/>
        <w:rPr>
          <w:rFonts w:ascii="宋体" w:hAnsi="宋体" w:cs="宋体"/>
          <w:b/>
          <w:bCs/>
          <w:szCs w:val="21"/>
        </w:rPr>
      </w:pPr>
      <w:r>
        <w:rPr>
          <w:rFonts w:hint="eastAsia" w:ascii="宋体" w:hAnsi="宋体" w:eastAsia="宋体" w:cs="宋体"/>
          <w:b/>
          <w:bCs/>
          <w:szCs w:val="21"/>
        </w:rPr>
        <w:t>37.3定性评审法</w:t>
      </w:r>
    </w:p>
    <w:p>
      <w:pPr>
        <w:ind w:firstLine="411" w:firstLineChars="196"/>
        <w:rPr>
          <w:rFonts w:ascii="宋体" w:hAnsi="宋体" w:cs="宋体"/>
          <w:bCs/>
          <w:szCs w:val="21"/>
        </w:rPr>
      </w:pPr>
      <w:r>
        <w:rPr>
          <w:rFonts w:hint="eastAsia" w:ascii="宋体" w:hAnsi="宋体" w:eastAsia="宋体" w:cs="宋体"/>
          <w:bCs/>
          <w:szCs w:val="21"/>
        </w:rPr>
        <w:t>定性评审法，是指按照招标文件规定的各项因素进行技术商务定性评审，对各投标文件是否满足招标文件实质性要求提出意见，指出投标文件的优点、缺陷、问题以及签订合同前应注意和澄清的事项，并形成评审报告。所有递交的投标文件不被判定为投标无效的投标人，均推荐为候选中标供应商。</w:t>
      </w:r>
    </w:p>
    <w:p>
      <w:pPr>
        <w:ind w:firstLine="413" w:firstLineChars="196"/>
        <w:rPr>
          <w:rFonts w:ascii="宋体" w:hAnsi="宋体" w:cs="宋体"/>
          <w:b/>
          <w:bCs/>
          <w:szCs w:val="21"/>
        </w:rPr>
      </w:pPr>
      <w:r>
        <w:rPr>
          <w:rFonts w:hint="eastAsia" w:ascii="宋体" w:hAnsi="宋体" w:eastAsia="宋体" w:cs="宋体"/>
          <w:b/>
          <w:bCs/>
          <w:szCs w:val="21"/>
        </w:rPr>
        <w:t>37.4 本项目采用的评标方法见本项目招标文件第一册“专用条款”的相关内容。</w:t>
      </w:r>
    </w:p>
    <w:p>
      <w:pPr>
        <w:ind w:firstLine="413" w:firstLineChars="196"/>
        <w:rPr>
          <w:rFonts w:ascii="宋体" w:hAnsi="宋体" w:cs="宋体"/>
          <w:b/>
          <w:bCs/>
          <w:szCs w:val="21"/>
        </w:rPr>
      </w:pPr>
      <w:r>
        <w:rPr>
          <w:rFonts w:hint="eastAsia" w:ascii="宋体" w:hAnsi="宋体" w:eastAsia="宋体" w:cs="宋体"/>
          <w:b/>
          <w:bCs/>
          <w:szCs w:val="21"/>
        </w:rPr>
        <w:t>37.5重新评审的情形</w:t>
      </w:r>
    </w:p>
    <w:p>
      <w:pPr>
        <w:ind w:firstLine="411" w:firstLineChars="196"/>
        <w:rPr>
          <w:rFonts w:ascii="宋体" w:hAnsi="宋体" w:cs="宋体"/>
          <w:bCs/>
          <w:szCs w:val="21"/>
        </w:rPr>
      </w:pPr>
      <w:r>
        <w:rPr>
          <w:rFonts w:hint="eastAsia" w:ascii="宋体" w:hAnsi="宋体" w:eastAsia="宋体" w:cs="宋体"/>
          <w:bCs/>
          <w:szCs w:val="21"/>
        </w:rPr>
        <w:t>评标结果汇总完成后，除下列情形外，任何人不得修改评标结果：</w:t>
      </w:r>
    </w:p>
    <w:p>
      <w:pPr>
        <w:ind w:firstLine="411" w:firstLineChars="196"/>
        <w:rPr>
          <w:rFonts w:ascii="宋体" w:hAnsi="宋体" w:cs="宋体"/>
          <w:bCs/>
          <w:szCs w:val="21"/>
        </w:rPr>
      </w:pPr>
      <w:r>
        <w:rPr>
          <w:rFonts w:hint="eastAsia" w:ascii="宋体" w:hAnsi="宋体" w:eastAsia="宋体" w:cs="宋体"/>
          <w:bCs/>
          <w:szCs w:val="21"/>
        </w:rPr>
        <w:t>（1）分值汇总计算错误的；</w:t>
      </w:r>
    </w:p>
    <w:p>
      <w:pPr>
        <w:ind w:firstLine="411" w:firstLineChars="196"/>
        <w:rPr>
          <w:rFonts w:ascii="宋体" w:hAnsi="宋体" w:cs="宋体"/>
          <w:bCs/>
          <w:szCs w:val="21"/>
        </w:rPr>
      </w:pPr>
      <w:r>
        <w:rPr>
          <w:rFonts w:hint="eastAsia" w:ascii="宋体" w:hAnsi="宋体" w:eastAsia="宋体" w:cs="宋体"/>
          <w:bCs/>
          <w:szCs w:val="21"/>
        </w:rPr>
        <w:t>（2）分项评分超出评分标准范围的；</w:t>
      </w:r>
    </w:p>
    <w:p>
      <w:pPr>
        <w:ind w:firstLine="411" w:firstLineChars="196"/>
        <w:rPr>
          <w:rFonts w:ascii="宋体" w:hAnsi="宋体" w:cs="宋体"/>
          <w:bCs/>
          <w:szCs w:val="21"/>
        </w:rPr>
      </w:pPr>
      <w:r>
        <w:rPr>
          <w:rFonts w:hint="eastAsia" w:ascii="宋体" w:hAnsi="宋体" w:eastAsia="宋体" w:cs="宋体"/>
          <w:bCs/>
          <w:szCs w:val="21"/>
        </w:rPr>
        <w:t>（3）评审委员会成员对客观评审因素评分不一致的；</w:t>
      </w:r>
    </w:p>
    <w:p>
      <w:pPr>
        <w:ind w:firstLine="411" w:firstLineChars="196"/>
        <w:rPr>
          <w:rFonts w:ascii="宋体" w:hAnsi="宋体" w:cs="宋体"/>
          <w:bCs/>
          <w:szCs w:val="21"/>
        </w:rPr>
      </w:pPr>
      <w:r>
        <w:rPr>
          <w:rFonts w:hint="eastAsia" w:ascii="宋体" w:hAnsi="宋体" w:eastAsia="宋体" w:cs="宋体"/>
          <w:bCs/>
          <w:szCs w:val="21"/>
        </w:rPr>
        <w:t>（4）经评审委员会认定评分畸高、畸低的。</w:t>
      </w:r>
    </w:p>
    <w:p>
      <w:pPr>
        <w:ind w:firstLine="411" w:firstLineChars="196"/>
        <w:rPr>
          <w:rFonts w:ascii="宋体" w:hAnsi="宋体" w:cs="宋体"/>
          <w:bCs/>
          <w:szCs w:val="21"/>
        </w:rPr>
      </w:pPr>
      <w:r>
        <w:rPr>
          <w:rFonts w:hint="eastAsia" w:ascii="宋体" w:hAnsi="宋体" w:eastAsia="宋体" w:cs="宋体"/>
          <w:bCs/>
          <w:szCs w:val="21"/>
        </w:rPr>
        <w:t>评标报告签署前，经复核发现存在以上情形之一的，评审委员会应当当场修改评标结果，并在评标报告中记载；评标报告签署后，采购人或者医院采购机构发现存在以上情形之一的，应当组织原评审委员会进行重新评审。</w:t>
      </w:r>
    </w:p>
    <w:p>
      <w:pPr>
        <w:ind w:firstLine="411" w:firstLineChars="196"/>
        <w:rPr>
          <w:rFonts w:ascii="宋体" w:hAnsi="宋体" w:cs="宋体"/>
          <w:b/>
          <w:bCs/>
          <w:szCs w:val="21"/>
        </w:rPr>
      </w:pPr>
      <w:r>
        <w:rPr>
          <w:rFonts w:hint="eastAsia" w:ascii="宋体" w:hAnsi="宋体" w:eastAsia="宋体" w:cs="宋体"/>
          <w:bCs/>
          <w:szCs w:val="21"/>
        </w:rPr>
        <w:t>投标人对本条第一款情形提出质疑的，采购人或者医院采购机构可以组织原评审委员会进行重新评审。</w:t>
      </w:r>
    </w:p>
    <w:p>
      <w:pPr>
        <w:ind w:firstLine="413" w:firstLineChars="196"/>
        <w:rPr>
          <w:rFonts w:ascii="宋体" w:hAnsi="宋体" w:cs="宋体"/>
          <w:b/>
          <w:bCs/>
          <w:szCs w:val="21"/>
        </w:rPr>
      </w:pPr>
      <w:r>
        <w:rPr>
          <w:rFonts w:hint="eastAsia" w:ascii="宋体" w:hAnsi="宋体" w:eastAsia="宋体" w:cs="宋体"/>
          <w:b/>
          <w:bCs/>
          <w:szCs w:val="21"/>
        </w:rPr>
        <w:t xml:space="preserve"> 37.6重新组建评审委员会的情形</w:t>
      </w:r>
    </w:p>
    <w:p>
      <w:pPr>
        <w:ind w:firstLine="411" w:firstLineChars="196"/>
        <w:rPr>
          <w:rFonts w:ascii="宋体" w:hAnsi="宋体" w:cs="宋体"/>
          <w:bCs/>
          <w:szCs w:val="21"/>
        </w:rPr>
      </w:pPr>
      <w:r>
        <w:rPr>
          <w:rFonts w:hint="eastAsia" w:ascii="宋体" w:hAnsi="宋体" w:eastAsia="宋体" w:cs="宋体"/>
          <w:bCs/>
          <w:szCs w:val="21"/>
        </w:rPr>
        <w:t>评审委员会或者其成员存在下列情形导致评标结果无效的，重新组建评审委员会进行评标：</w:t>
      </w:r>
    </w:p>
    <w:p>
      <w:pPr>
        <w:ind w:firstLine="411" w:firstLineChars="196"/>
        <w:rPr>
          <w:rFonts w:ascii="宋体" w:hAnsi="宋体" w:cs="宋体"/>
          <w:bCs/>
          <w:szCs w:val="21"/>
        </w:rPr>
      </w:pPr>
      <w:r>
        <w:rPr>
          <w:rFonts w:hint="eastAsia" w:ascii="宋体" w:hAnsi="宋体" w:eastAsia="宋体" w:cs="宋体"/>
          <w:bCs/>
          <w:szCs w:val="21"/>
        </w:rPr>
        <w:t>（1）评审委员会组成不符合相关规定的；</w:t>
      </w:r>
    </w:p>
    <w:p>
      <w:pPr>
        <w:ind w:firstLine="411" w:firstLineChars="196"/>
        <w:rPr>
          <w:rFonts w:ascii="宋体" w:hAnsi="宋体" w:cs="宋体"/>
          <w:bCs/>
          <w:szCs w:val="21"/>
        </w:rPr>
      </w:pPr>
      <w:r>
        <w:rPr>
          <w:rFonts w:hint="eastAsia" w:ascii="宋体" w:hAnsi="宋体" w:eastAsia="宋体" w:cs="宋体"/>
          <w:bCs/>
          <w:szCs w:val="21"/>
        </w:rPr>
        <w:t>（2）有《政府采购货物和服务招标投标管理办法》第六十二条第一至五项情形的；</w:t>
      </w:r>
    </w:p>
    <w:p>
      <w:pPr>
        <w:ind w:firstLine="411" w:firstLineChars="196"/>
        <w:rPr>
          <w:rFonts w:ascii="宋体" w:hAnsi="宋体" w:cs="宋体"/>
          <w:bCs/>
          <w:szCs w:val="21"/>
        </w:rPr>
      </w:pPr>
      <w:r>
        <w:rPr>
          <w:rFonts w:hint="eastAsia" w:ascii="宋体" w:hAnsi="宋体" w:eastAsia="宋体" w:cs="宋体"/>
          <w:bCs/>
          <w:szCs w:val="21"/>
        </w:rPr>
        <w:t>（3）评审委员会及其成员独立评标受到非法干预的；</w:t>
      </w:r>
    </w:p>
    <w:p>
      <w:pPr>
        <w:ind w:firstLine="411" w:firstLineChars="196"/>
        <w:rPr>
          <w:rFonts w:ascii="宋体" w:hAnsi="宋体" w:cs="宋体"/>
          <w:bCs/>
          <w:szCs w:val="21"/>
        </w:rPr>
      </w:pPr>
      <w:r>
        <w:rPr>
          <w:rFonts w:hint="eastAsia" w:ascii="宋体" w:hAnsi="宋体" w:eastAsia="宋体" w:cs="宋体"/>
          <w:bCs/>
          <w:szCs w:val="21"/>
        </w:rPr>
        <w:t>（4）有政府采购法实施条例第七十五条规定的违法行为的。</w:t>
      </w:r>
    </w:p>
    <w:p>
      <w:pPr>
        <w:ind w:firstLine="411" w:firstLineChars="196"/>
        <w:rPr>
          <w:rFonts w:ascii="宋体" w:hAnsi="宋体" w:cs="宋体"/>
          <w:bCs/>
          <w:szCs w:val="21"/>
        </w:rPr>
      </w:pPr>
      <w:r>
        <w:rPr>
          <w:rFonts w:hint="eastAsia" w:ascii="宋体" w:hAnsi="宋体" w:eastAsia="宋体" w:cs="宋体"/>
          <w:bCs/>
          <w:szCs w:val="21"/>
        </w:rPr>
        <w:t>有违法违规行为的原评审委员会成员不得参加重新组建的评审委员会。</w:t>
      </w:r>
    </w:p>
    <w:p>
      <w:pPr>
        <w:ind w:firstLine="411" w:firstLineChars="196"/>
        <w:rPr>
          <w:rFonts w:ascii="宋体" w:hAnsi="宋体" w:cs="宋体"/>
          <w:bCs/>
          <w:szCs w:val="21"/>
        </w:rPr>
      </w:pPr>
    </w:p>
    <w:p>
      <w:pPr>
        <w:pStyle w:val="8"/>
        <w:numPr>
          <w:ilvl w:val="0"/>
          <w:numId w:val="20"/>
        </w:numPr>
        <w:tabs>
          <w:tab w:val="left" w:pos="3960"/>
          <w:tab w:val="clear" w:pos="720"/>
        </w:tabs>
        <w:ind w:left="3960"/>
        <w:rPr>
          <w:rFonts w:ascii="宋体" w:hAnsi="宋体" w:eastAsia="宋体" w:cs="宋体"/>
        </w:rPr>
      </w:pPr>
      <w:r>
        <w:rPr>
          <w:rFonts w:hint="eastAsia" w:ascii="宋体" w:hAnsi="宋体" w:eastAsia="宋体" w:cs="宋体"/>
        </w:rPr>
        <w:t>定标及公示</w:t>
      </w:r>
    </w:p>
    <w:p>
      <w:pPr>
        <w:keepNext/>
        <w:keepLines/>
        <w:adjustRightInd w:val="0"/>
        <w:spacing w:before="231" w:beforeLines="50" w:after="231" w:afterLines="50"/>
        <w:textAlignment w:val="baseline"/>
        <w:outlineLvl w:val="1"/>
        <w:rPr>
          <w:rFonts w:ascii="宋体" w:hAnsi="宋体" w:cs="宋体"/>
          <w:b/>
          <w:bCs/>
          <w:sz w:val="28"/>
          <w:szCs w:val="28"/>
        </w:rPr>
      </w:pPr>
    </w:p>
    <w:p>
      <w:pPr>
        <w:spacing w:line="360" w:lineRule="auto"/>
        <w:rPr>
          <w:rFonts w:ascii="宋体" w:hAnsi="宋体" w:cs="宋体"/>
          <w:sz w:val="24"/>
        </w:rPr>
      </w:pPr>
      <w:r>
        <w:rPr>
          <w:rFonts w:hint="eastAsia" w:ascii="宋体" w:hAnsi="宋体" w:eastAsia="宋体" w:cs="宋体"/>
          <w:sz w:val="24"/>
        </w:rPr>
        <w:t>38．定标方法</w:t>
      </w:r>
    </w:p>
    <w:p>
      <w:pPr>
        <w:ind w:firstLine="411" w:firstLineChars="196"/>
        <w:rPr>
          <w:rFonts w:ascii="宋体" w:hAnsi="宋体" w:cs="宋体"/>
          <w:szCs w:val="21"/>
        </w:rPr>
      </w:pPr>
      <w:r>
        <w:rPr>
          <w:rFonts w:hint="eastAsia" w:ascii="宋体" w:hAnsi="宋体" w:eastAsia="宋体" w:cs="宋体"/>
          <w:szCs w:val="21"/>
        </w:rPr>
        <w:t>38.1评审委员会依据本项目招标文件所约定的评标方法进行评审和比较，向医院采购机构提交书面评标报告，并根据评标方法比较评价结果从优到劣进行排序，并推荐中标候选人或确定中标供应商。</w:t>
      </w:r>
    </w:p>
    <w:p>
      <w:pPr>
        <w:ind w:firstLine="411" w:firstLineChars="196"/>
        <w:rPr>
          <w:rFonts w:ascii="宋体" w:hAnsi="宋体" w:cs="宋体"/>
          <w:szCs w:val="21"/>
        </w:rPr>
      </w:pPr>
      <w:r>
        <w:rPr>
          <w:rFonts w:hint="eastAsia" w:ascii="宋体" w:hAnsi="宋体" w:eastAsia="宋体" w:cs="宋体"/>
          <w:szCs w:val="21"/>
        </w:rPr>
        <w:t>38.2采用最低价法的，评标结果按投标报价由低到高顺序排列。投标报价相同的并列。投标文件满足招标文件全部实质性要求且投标报价最低的投标人为排名第一的中标候选人。</w:t>
      </w:r>
    </w:p>
    <w:p>
      <w:pPr>
        <w:ind w:firstLine="411" w:firstLineChars="196"/>
        <w:rPr>
          <w:rFonts w:ascii="宋体" w:hAnsi="宋体" w:cs="宋体"/>
          <w:szCs w:val="21"/>
        </w:rPr>
      </w:pPr>
      <w:r>
        <w:rPr>
          <w:rFonts w:hint="eastAsia" w:ascii="宋体" w:hAnsi="宋体" w:eastAsia="宋体" w:cs="宋体"/>
          <w:szCs w:val="21"/>
        </w:rPr>
        <w:t>38.3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pPr>
        <w:ind w:firstLine="411" w:firstLineChars="196"/>
        <w:rPr>
          <w:rFonts w:ascii="宋体" w:hAnsi="宋体" w:cs="宋体"/>
          <w:szCs w:val="21"/>
        </w:rPr>
      </w:pPr>
      <w:r>
        <w:rPr>
          <w:rFonts w:hint="eastAsia" w:ascii="宋体" w:hAnsi="宋体" w:eastAsia="宋体" w:cs="宋体"/>
          <w:szCs w:val="21"/>
        </w:rPr>
        <w:t>38.4出现并列的情况时，采取随机抽取的方式确定并列的投标人的排序，具体操作办法及流程由评审委员会确定。</w:t>
      </w:r>
    </w:p>
    <w:p>
      <w:pPr>
        <w:ind w:firstLine="411" w:firstLineChars="196"/>
        <w:rPr>
          <w:rFonts w:ascii="宋体" w:hAnsi="宋体" w:cs="宋体"/>
          <w:szCs w:val="21"/>
        </w:rPr>
      </w:pPr>
      <w:r>
        <w:rPr>
          <w:rFonts w:hint="eastAsia" w:ascii="宋体" w:hAnsi="宋体" w:eastAsia="宋体" w:cs="宋体"/>
          <w:szCs w:val="21"/>
        </w:rPr>
        <w:t>38.5专用条款另有规定的，按专用条款相关要求定标。</w:t>
      </w:r>
    </w:p>
    <w:p>
      <w:pPr>
        <w:spacing w:line="360" w:lineRule="auto"/>
        <w:rPr>
          <w:rFonts w:ascii="宋体" w:hAnsi="宋体" w:cs="宋体"/>
          <w:sz w:val="24"/>
        </w:rPr>
      </w:pPr>
      <w:r>
        <w:rPr>
          <w:rFonts w:hint="eastAsia" w:ascii="宋体" w:hAnsi="宋体" w:eastAsia="宋体" w:cs="宋体"/>
          <w:sz w:val="24"/>
        </w:rPr>
        <w:t>39．编写评标报告</w:t>
      </w:r>
    </w:p>
    <w:p>
      <w:pPr>
        <w:ind w:firstLine="411" w:firstLineChars="196"/>
        <w:rPr>
          <w:rFonts w:ascii="宋体" w:hAnsi="宋体" w:cs="宋体"/>
          <w:szCs w:val="21"/>
        </w:rPr>
      </w:pPr>
      <w:r>
        <w:rPr>
          <w:rFonts w:hint="eastAsia" w:ascii="宋体" w:hAnsi="宋体" w:eastAsia="宋体" w:cs="宋体"/>
          <w:szCs w:val="21"/>
        </w:rPr>
        <w:t>评标报告是评审委员会根据全体评标成员签字的原始评标记录和评标结果编写的报告，评标报告由评审委员会全体成员签字。对评标结论持有异议的评审委员会成员可以书面方式阐述其不同意见和理由。评审委员会成员拒绝在评标报告上签字且不陈述其不同意见和理由的，视为同意评标结论。评审委员会应当对此作出书面说明并记录存档。</w:t>
      </w:r>
    </w:p>
    <w:p>
      <w:pPr>
        <w:spacing w:line="360" w:lineRule="auto"/>
        <w:rPr>
          <w:rFonts w:ascii="宋体" w:hAnsi="宋体" w:cs="宋体"/>
          <w:sz w:val="24"/>
        </w:rPr>
      </w:pPr>
      <w:r>
        <w:rPr>
          <w:rFonts w:hint="eastAsia" w:ascii="宋体" w:hAnsi="宋体" w:eastAsia="宋体" w:cs="宋体"/>
          <w:sz w:val="24"/>
        </w:rPr>
        <w:t>40．中标公告</w:t>
      </w:r>
    </w:p>
    <w:p>
      <w:pPr>
        <w:ind w:firstLine="411" w:firstLineChars="196"/>
        <w:rPr>
          <w:rFonts w:ascii="宋体" w:hAnsi="宋体" w:cs="宋体"/>
          <w:szCs w:val="21"/>
        </w:rPr>
      </w:pPr>
      <w:r>
        <w:rPr>
          <w:rFonts w:hint="eastAsia" w:ascii="宋体" w:hAnsi="宋体" w:eastAsia="宋体" w:cs="宋体"/>
          <w:szCs w:val="21"/>
        </w:rPr>
        <w:t>40.1为体现“公开、公平、公正”的原则，评标结束后，医院采购机构将在“深圳大学总医院招投标管理办公室网站”（</w:t>
      </w:r>
      <w:r>
        <w:fldChar w:fldCharType="begin"/>
      </w:r>
      <w:r>
        <w:instrText xml:space="preserve"> HYPERLINK "http://www.sugh.net/News/Columns/Index/557" </w:instrText>
      </w:r>
      <w:r>
        <w:fldChar w:fldCharType="separate"/>
      </w:r>
      <w:r>
        <w:rPr>
          <w:rStyle w:val="61"/>
          <w:rFonts w:hint="eastAsia" w:ascii="宋体" w:hAnsi="宋体" w:cs="宋体"/>
          <w:szCs w:val="21"/>
        </w:rPr>
        <w:t>http://www.sugh.net/News/Columns/Index/557</w:t>
      </w:r>
      <w:r>
        <w:rPr>
          <w:rStyle w:val="61"/>
          <w:rFonts w:hint="eastAsia" w:ascii="宋体" w:hAnsi="宋体" w:cs="宋体"/>
          <w:szCs w:val="21"/>
        </w:rPr>
        <w:fldChar w:fldCharType="end"/>
      </w:r>
      <w:r>
        <w:rPr>
          <w:rFonts w:hint="eastAsia" w:ascii="宋体" w:hAnsi="宋体" w:eastAsia="宋体" w:cs="宋体"/>
          <w:szCs w:val="21"/>
        </w:rPr>
        <w:t>）上发布中标结果公告。供应商如对评标结果有异议，可在发布公示日期起七个工作日内向医院采购机构提出。若在规定期限内未提出质疑，则视为认同该评标结果。</w:t>
      </w:r>
    </w:p>
    <w:p>
      <w:pPr>
        <w:ind w:firstLine="411" w:firstLineChars="196"/>
        <w:rPr>
          <w:rFonts w:ascii="宋体" w:hAnsi="宋体" w:cs="宋体"/>
          <w:szCs w:val="21"/>
        </w:rPr>
      </w:pPr>
      <w:r>
        <w:rPr>
          <w:rFonts w:hint="eastAsia" w:ascii="宋体" w:hAnsi="宋体" w:eastAsia="宋体" w:cs="宋体"/>
          <w:szCs w:val="21"/>
        </w:rPr>
        <w:t>40.2质疑投诉人应保证质疑投诉内容的真实性和可靠性，并承担相应的法律责任。</w:t>
      </w:r>
    </w:p>
    <w:p>
      <w:pPr>
        <w:spacing w:line="360" w:lineRule="auto"/>
        <w:rPr>
          <w:rFonts w:ascii="宋体" w:hAnsi="宋体" w:cs="宋体"/>
          <w:sz w:val="24"/>
        </w:rPr>
      </w:pPr>
      <w:r>
        <w:rPr>
          <w:rFonts w:hint="eastAsia" w:ascii="宋体" w:hAnsi="宋体" w:eastAsia="宋体" w:cs="宋体"/>
          <w:sz w:val="24"/>
        </w:rPr>
        <w:t>41．中标通知书</w:t>
      </w:r>
    </w:p>
    <w:p>
      <w:pPr>
        <w:ind w:firstLine="411" w:firstLineChars="196"/>
        <w:rPr>
          <w:rFonts w:ascii="宋体" w:hAnsi="宋体" w:cs="宋体"/>
          <w:szCs w:val="21"/>
        </w:rPr>
      </w:pPr>
      <w:r>
        <w:rPr>
          <w:rFonts w:hint="eastAsia" w:ascii="宋体" w:hAnsi="宋体" w:eastAsia="宋体" w:cs="宋体"/>
          <w:szCs w:val="21"/>
        </w:rPr>
        <w:t>41.1中标公告公布以后,在公示期内无有效质疑投诉,中标供应商和采购人可到医院采购机构领取《中标通知书》（咨询电话：0755-21839931，地点：深圳大学总医院）。</w:t>
      </w:r>
    </w:p>
    <w:p>
      <w:pPr>
        <w:ind w:firstLine="411" w:firstLineChars="196"/>
        <w:rPr>
          <w:rFonts w:ascii="宋体" w:hAnsi="宋体" w:cs="宋体"/>
          <w:szCs w:val="21"/>
        </w:rPr>
      </w:pPr>
      <w:r>
        <w:rPr>
          <w:rFonts w:hint="eastAsia" w:ascii="宋体" w:hAnsi="宋体" w:eastAsia="宋体" w:cs="宋体"/>
          <w:szCs w:val="21"/>
        </w:rPr>
        <w:t>41.2中标通知书是合同的重要组成部分。</w:t>
      </w:r>
    </w:p>
    <w:p>
      <w:pPr>
        <w:ind w:firstLine="411" w:firstLineChars="196"/>
        <w:rPr>
          <w:rFonts w:ascii="宋体" w:hAnsi="宋体" w:cs="宋体"/>
          <w:szCs w:val="21"/>
        </w:rPr>
      </w:pPr>
      <w:r>
        <w:rPr>
          <w:rFonts w:hint="eastAsia" w:ascii="宋体" w:hAnsi="宋体" w:eastAsia="宋体" w:cs="宋体"/>
          <w:szCs w:val="21"/>
        </w:rPr>
        <w:t>41.3因质疑投诉或其它原因导致项目结果变更或采购终止的，医院采购机构有权吊销中标通知书或终止采购合同。</w:t>
      </w:r>
    </w:p>
    <w:p>
      <w:pPr>
        <w:ind w:firstLine="411" w:firstLineChars="196"/>
        <w:rPr>
          <w:rFonts w:ascii="宋体" w:hAnsi="宋体" w:cs="宋体"/>
          <w:szCs w:val="21"/>
        </w:rPr>
      </w:pPr>
    </w:p>
    <w:p>
      <w:pPr>
        <w:pStyle w:val="8"/>
        <w:numPr>
          <w:ilvl w:val="0"/>
          <w:numId w:val="20"/>
        </w:numPr>
        <w:tabs>
          <w:tab w:val="left" w:pos="3960"/>
          <w:tab w:val="clear" w:pos="720"/>
        </w:tabs>
        <w:ind w:left="3960"/>
        <w:rPr>
          <w:rFonts w:ascii="宋体" w:hAnsi="宋体" w:eastAsia="宋体" w:cs="宋体"/>
        </w:rPr>
      </w:pPr>
      <w:r>
        <w:rPr>
          <w:rFonts w:hint="eastAsia" w:ascii="宋体" w:hAnsi="宋体" w:eastAsia="宋体" w:cs="宋体"/>
        </w:rPr>
        <w:t>公开招标失败的后续处理</w:t>
      </w:r>
    </w:p>
    <w:p>
      <w:pPr>
        <w:keepNext/>
        <w:keepLines/>
        <w:adjustRightInd w:val="0"/>
        <w:spacing w:before="231" w:beforeLines="50" w:after="231" w:afterLines="50"/>
        <w:textAlignment w:val="baseline"/>
        <w:outlineLvl w:val="1"/>
        <w:rPr>
          <w:rFonts w:ascii="宋体" w:hAnsi="宋体" w:cs="宋体"/>
          <w:b/>
          <w:bCs/>
          <w:sz w:val="28"/>
          <w:szCs w:val="28"/>
        </w:rPr>
      </w:pPr>
    </w:p>
    <w:p>
      <w:pPr>
        <w:spacing w:line="360" w:lineRule="auto"/>
        <w:rPr>
          <w:rFonts w:ascii="宋体" w:hAnsi="宋体" w:cs="宋体"/>
          <w:sz w:val="24"/>
        </w:rPr>
      </w:pPr>
      <w:r>
        <w:rPr>
          <w:rFonts w:hint="eastAsia" w:ascii="宋体" w:hAnsi="宋体" w:eastAsia="宋体" w:cs="宋体"/>
          <w:sz w:val="24"/>
        </w:rPr>
        <w:t>42．公开招标失败的处理</w:t>
      </w:r>
    </w:p>
    <w:p>
      <w:pPr>
        <w:ind w:firstLine="411" w:firstLineChars="196"/>
        <w:rPr>
          <w:rFonts w:ascii="宋体" w:hAnsi="宋体" w:cs="宋体"/>
        </w:rPr>
      </w:pPr>
      <w:r>
        <w:rPr>
          <w:rFonts w:hint="eastAsia" w:ascii="宋体" w:hAnsi="宋体" w:eastAsia="宋体" w:cs="宋体"/>
          <w:szCs w:val="21"/>
        </w:rPr>
        <w:t>42.1本项目公开招标过程中若由于投标截止后</w:t>
      </w:r>
      <w:r>
        <w:rPr>
          <w:rFonts w:hint="eastAsia" w:ascii="宋体" w:hAnsi="宋体" w:eastAsia="宋体" w:cs="宋体"/>
        </w:rPr>
        <w:t>实际递交投标文件的供应商数量不足、经评审委员会评审对招标文件作实质响应的供应商不足等原因造成公开招标失败，可由医院采购机构重新组织采购。</w:t>
      </w:r>
    </w:p>
    <w:p>
      <w:pPr>
        <w:ind w:firstLine="411" w:firstLineChars="196"/>
        <w:rPr>
          <w:rFonts w:ascii="宋体" w:hAnsi="宋体" w:cs="宋体"/>
          <w:szCs w:val="21"/>
        </w:rPr>
      </w:pPr>
      <w:r>
        <w:rPr>
          <w:rFonts w:hint="eastAsia" w:ascii="宋体" w:hAnsi="宋体" w:eastAsia="宋体" w:cs="宋体"/>
          <w:szCs w:val="21"/>
        </w:rPr>
        <w:t>42.2对公开招标失败的项目，评审委员会在出具该项目招标失败结论的同时，提出重新采购组织形式的建议，以及进一步完善招标文件的资格、技术、商务要求的修改建议。</w:t>
      </w:r>
    </w:p>
    <w:p>
      <w:pPr>
        <w:ind w:firstLine="411" w:firstLineChars="196"/>
        <w:rPr>
          <w:rFonts w:ascii="宋体" w:hAnsi="宋体" w:cs="宋体"/>
          <w:szCs w:val="21"/>
        </w:rPr>
      </w:pPr>
      <w:r>
        <w:rPr>
          <w:rFonts w:hint="eastAsia" w:ascii="宋体" w:hAnsi="宋体" w:eastAsia="宋体" w:cs="宋体"/>
          <w:szCs w:val="21"/>
        </w:rPr>
        <w:t>42.3重新组织采购有以下两种组织形式：</w:t>
      </w:r>
    </w:p>
    <w:p>
      <w:pPr>
        <w:ind w:firstLine="411" w:firstLineChars="196"/>
        <w:rPr>
          <w:rFonts w:ascii="宋体" w:hAnsi="宋体" w:cs="宋体"/>
        </w:rPr>
      </w:pPr>
      <w:r>
        <w:rPr>
          <w:rFonts w:hint="eastAsia" w:ascii="宋体" w:hAnsi="宋体" w:eastAsia="宋体" w:cs="宋体"/>
        </w:rPr>
        <w:t>（1）由医院采购机构重新组织公开招标；</w:t>
      </w:r>
    </w:p>
    <w:p>
      <w:pPr>
        <w:ind w:firstLine="411" w:firstLineChars="196"/>
        <w:rPr>
          <w:rFonts w:ascii="宋体" w:hAnsi="宋体" w:cs="宋体"/>
        </w:rPr>
      </w:pPr>
      <w:r>
        <w:rPr>
          <w:rFonts w:hint="eastAsia" w:ascii="宋体" w:hAnsi="宋体" w:eastAsia="宋体" w:cs="宋体"/>
        </w:rPr>
        <w:t>（2）根据实际情况，依照医院的有关规定申请将招标失败的采购项目转为竞争性谈判或单一来源谈判方式采购。</w:t>
      </w:r>
    </w:p>
    <w:p>
      <w:pPr>
        <w:ind w:firstLine="411" w:firstLineChars="196"/>
        <w:rPr>
          <w:rFonts w:ascii="宋体" w:hAnsi="宋体" w:cs="宋体"/>
        </w:rPr>
      </w:pPr>
      <w:r>
        <w:rPr>
          <w:rFonts w:hint="eastAsia" w:ascii="宋体" w:hAnsi="宋体" w:eastAsia="宋体" w:cs="宋体"/>
        </w:rPr>
        <w:t>42.4公开招标失败的采购项目重新组织公开招标，医院采购机构重新按公开招标流程组织采购活动。</w:t>
      </w:r>
    </w:p>
    <w:p>
      <w:pPr>
        <w:ind w:firstLine="411" w:firstLineChars="196"/>
        <w:rPr>
          <w:rFonts w:ascii="宋体" w:hAnsi="宋体" w:cs="宋体"/>
        </w:rPr>
      </w:pPr>
      <w:r>
        <w:rPr>
          <w:rFonts w:hint="eastAsia" w:ascii="宋体" w:hAnsi="宋体" w:eastAsia="宋体" w:cs="宋体"/>
        </w:rPr>
        <w:t>42.5公开招标失败的采购项目按照《深圳大学总医院采购管理办法》及相关规定的程序批准转为竞争性谈判或单一来源谈判方式采购的，按规定要求组织采购活动。</w:t>
      </w:r>
    </w:p>
    <w:p>
      <w:pPr>
        <w:ind w:firstLine="411" w:firstLineChars="196"/>
        <w:rPr>
          <w:rFonts w:ascii="宋体" w:hAnsi="宋体" w:cs="宋体"/>
        </w:rPr>
      </w:pPr>
    </w:p>
    <w:p>
      <w:pPr>
        <w:pStyle w:val="8"/>
        <w:numPr>
          <w:ilvl w:val="0"/>
          <w:numId w:val="20"/>
        </w:numPr>
        <w:tabs>
          <w:tab w:val="left" w:pos="3960"/>
          <w:tab w:val="clear" w:pos="720"/>
        </w:tabs>
        <w:ind w:left="3960"/>
        <w:rPr>
          <w:rFonts w:ascii="宋体" w:hAnsi="宋体" w:eastAsia="宋体" w:cs="宋体"/>
        </w:rPr>
      </w:pPr>
      <w:r>
        <w:rPr>
          <w:rFonts w:hint="eastAsia" w:ascii="宋体" w:hAnsi="宋体" w:eastAsia="宋体" w:cs="宋体"/>
        </w:rPr>
        <w:t>合同的授予与备案</w:t>
      </w:r>
    </w:p>
    <w:p>
      <w:pPr>
        <w:keepNext/>
        <w:keepLines/>
        <w:adjustRightInd w:val="0"/>
        <w:spacing w:before="231" w:beforeLines="50" w:after="231" w:afterLines="50"/>
        <w:textAlignment w:val="baseline"/>
        <w:outlineLvl w:val="1"/>
        <w:rPr>
          <w:rFonts w:ascii="宋体" w:hAnsi="宋体" w:cs="宋体"/>
          <w:b/>
          <w:bCs/>
          <w:sz w:val="28"/>
          <w:szCs w:val="28"/>
        </w:rPr>
      </w:pPr>
    </w:p>
    <w:p>
      <w:pPr>
        <w:spacing w:line="360" w:lineRule="auto"/>
        <w:rPr>
          <w:rFonts w:ascii="宋体" w:hAnsi="宋体" w:cs="宋体"/>
          <w:sz w:val="24"/>
        </w:rPr>
      </w:pPr>
      <w:r>
        <w:rPr>
          <w:rFonts w:hint="eastAsia" w:ascii="宋体" w:hAnsi="宋体" w:eastAsia="宋体" w:cs="宋体"/>
          <w:sz w:val="24"/>
        </w:rPr>
        <w:t>43．合同授予标准</w:t>
      </w:r>
    </w:p>
    <w:p>
      <w:pPr>
        <w:ind w:firstLine="411" w:firstLineChars="196"/>
        <w:rPr>
          <w:rFonts w:ascii="宋体" w:hAnsi="宋体" w:cs="宋体"/>
          <w:szCs w:val="21"/>
        </w:rPr>
      </w:pPr>
      <w:r>
        <w:rPr>
          <w:rFonts w:hint="eastAsia" w:ascii="宋体" w:hAnsi="宋体" w:eastAsia="宋体" w:cs="宋体"/>
          <w:szCs w:val="21"/>
        </w:rPr>
        <w:t>本项目的合同将授予按本招标文件规定评审确定的中标人。</w:t>
      </w:r>
    </w:p>
    <w:p>
      <w:pPr>
        <w:spacing w:line="360" w:lineRule="auto"/>
        <w:rPr>
          <w:rFonts w:ascii="宋体" w:hAnsi="宋体" w:cs="宋体"/>
          <w:sz w:val="24"/>
        </w:rPr>
      </w:pPr>
      <w:r>
        <w:rPr>
          <w:rFonts w:hint="eastAsia" w:ascii="宋体" w:hAnsi="宋体" w:eastAsia="宋体" w:cs="宋体"/>
          <w:sz w:val="24"/>
        </w:rPr>
        <w:t>44．接受和拒绝任何或所有投标的权力</w:t>
      </w:r>
    </w:p>
    <w:p>
      <w:pPr>
        <w:ind w:firstLine="411" w:firstLineChars="196"/>
        <w:rPr>
          <w:rFonts w:ascii="宋体" w:hAnsi="宋体" w:cs="宋体"/>
          <w:szCs w:val="21"/>
        </w:rPr>
      </w:pPr>
      <w:r>
        <w:rPr>
          <w:rFonts w:hint="eastAsia" w:ascii="宋体" w:hAnsi="宋体" w:eastAsia="宋体" w:cs="宋体"/>
          <w:szCs w:val="21"/>
        </w:rPr>
        <w:t>医院采购机构和采购人保留在签订合同之前任何时候接受或拒绝任何投标或所有投标，以及宣布招标无效的权力，对受影响的投标人不承担任何责任，也无义务向受影响的投标人解释采取这一行动的理由。</w:t>
      </w:r>
    </w:p>
    <w:p>
      <w:pPr>
        <w:spacing w:line="360" w:lineRule="auto"/>
        <w:rPr>
          <w:rFonts w:ascii="宋体" w:hAnsi="宋体" w:cs="宋体"/>
          <w:sz w:val="24"/>
        </w:rPr>
      </w:pPr>
      <w:r>
        <w:rPr>
          <w:rFonts w:hint="eastAsia" w:ascii="宋体" w:hAnsi="宋体" w:eastAsia="宋体" w:cs="宋体"/>
          <w:sz w:val="24"/>
        </w:rPr>
        <w:t>45．合同协议书的签订</w:t>
      </w:r>
    </w:p>
    <w:p>
      <w:pPr>
        <w:ind w:firstLine="411" w:firstLineChars="196"/>
        <w:rPr>
          <w:rFonts w:ascii="宋体" w:hAnsi="宋体" w:cs="宋体"/>
          <w:szCs w:val="21"/>
        </w:rPr>
      </w:pPr>
      <w:r>
        <w:rPr>
          <w:rFonts w:hint="eastAsia" w:ascii="宋体" w:hAnsi="宋体" w:eastAsia="宋体" w:cs="宋体"/>
          <w:szCs w:val="21"/>
        </w:rPr>
        <w:t>45.1中标人将于中标通知书发出之日起10个工作日内，按照采购文件（招标文件和投标文件等）内容与采购人签订政府采购合同；合同的实质性内容应当符合招标文件的规定。</w:t>
      </w:r>
    </w:p>
    <w:p>
      <w:pPr>
        <w:spacing w:line="0" w:lineRule="atLeast"/>
        <w:ind w:firstLine="411" w:firstLineChars="196"/>
        <w:rPr>
          <w:rFonts w:ascii="宋体" w:hAnsi="宋体" w:cs="宋体"/>
          <w:szCs w:val="21"/>
        </w:rPr>
      </w:pPr>
      <w:r>
        <w:rPr>
          <w:rFonts w:hint="eastAsia" w:ascii="宋体" w:hAnsi="宋体" w:eastAsia="宋体" w:cs="宋体"/>
          <w:szCs w:val="21"/>
        </w:rPr>
        <w:t>45.2中标人如不按本通用条款第45.1款的规定与采购人签订合同，医院采购机构将有充分的理由取消中标人的中标，并计入供应商诚信档案。</w:t>
      </w:r>
    </w:p>
    <w:p>
      <w:pPr>
        <w:spacing w:line="0" w:lineRule="atLeast"/>
        <w:ind w:firstLine="411" w:firstLineChars="196"/>
        <w:rPr>
          <w:rFonts w:ascii="宋体" w:hAnsi="宋体" w:cs="宋体"/>
          <w:szCs w:val="21"/>
        </w:rPr>
      </w:pPr>
      <w:r>
        <w:rPr>
          <w:rFonts w:hint="eastAsia" w:ascii="宋体" w:hAnsi="宋体" w:eastAsia="宋体" w:cs="宋体"/>
          <w:szCs w:val="21"/>
        </w:rPr>
        <w:t>45.3中标人应当按照合同约定履行义务，完成中标项目，不得将中标项目转让（转包）给他人。</w:t>
      </w:r>
    </w:p>
    <w:p>
      <w:pPr>
        <w:spacing w:line="360" w:lineRule="auto"/>
        <w:rPr>
          <w:rFonts w:ascii="宋体" w:hAnsi="宋体" w:cs="宋体"/>
          <w:sz w:val="24"/>
        </w:rPr>
      </w:pPr>
      <w:r>
        <w:rPr>
          <w:rFonts w:hint="eastAsia" w:ascii="宋体" w:hAnsi="宋体" w:eastAsia="宋体" w:cs="宋体"/>
          <w:sz w:val="24"/>
        </w:rPr>
        <w:t>46．履约担保</w:t>
      </w:r>
    </w:p>
    <w:p>
      <w:pPr>
        <w:spacing w:line="0" w:lineRule="atLeast"/>
        <w:ind w:firstLine="411" w:firstLineChars="196"/>
        <w:rPr>
          <w:rFonts w:ascii="宋体" w:hAnsi="宋体" w:cs="宋体"/>
          <w:szCs w:val="21"/>
        </w:rPr>
      </w:pPr>
      <w:r>
        <w:rPr>
          <w:rFonts w:hint="eastAsia" w:ascii="宋体" w:hAnsi="宋体" w:eastAsia="宋体" w:cs="宋体"/>
          <w:szCs w:val="21"/>
        </w:rPr>
        <w:t>46.1在签订项目合同的同时，中标人应按“对通用条款的补充内容”中规定的金额向采购人提交履约保证金。</w:t>
      </w:r>
    </w:p>
    <w:p>
      <w:pPr>
        <w:spacing w:line="0" w:lineRule="atLeast"/>
        <w:ind w:firstLine="411" w:firstLineChars="196"/>
        <w:rPr>
          <w:rFonts w:ascii="宋体" w:hAnsi="宋体" w:cs="宋体"/>
          <w:szCs w:val="21"/>
        </w:rPr>
      </w:pPr>
      <w:r>
        <w:rPr>
          <w:rFonts w:hint="eastAsia" w:ascii="宋体" w:hAnsi="宋体" w:eastAsia="宋体" w:cs="宋体"/>
          <w:szCs w:val="21"/>
        </w:rPr>
        <w:t>46.2如果中标人不能按“对通用条款的补充内容”中规</w:t>
      </w:r>
      <w:r>
        <w:rPr>
          <w:rFonts w:hint="eastAsia" w:ascii="宋体" w:hAnsi="宋体" w:eastAsia="宋体" w:cs="宋体"/>
        </w:rPr>
        <w:t>定的金额向采购人提交履约保证金，采购人将有充分的理由通过医院采购机构取消其中标，给采购人造成</w:t>
      </w:r>
      <w:r>
        <w:rPr>
          <w:rFonts w:hint="eastAsia" w:ascii="宋体" w:hAnsi="宋体" w:eastAsia="宋体" w:cs="宋体"/>
          <w:szCs w:val="21"/>
        </w:rPr>
        <w:t>的损失，中标人还应当予以赔偿。</w:t>
      </w:r>
    </w:p>
    <w:p>
      <w:pPr>
        <w:spacing w:line="360" w:lineRule="auto"/>
        <w:rPr>
          <w:rFonts w:ascii="宋体" w:hAnsi="宋体" w:cs="宋体"/>
          <w:sz w:val="24"/>
        </w:rPr>
      </w:pPr>
      <w:r>
        <w:rPr>
          <w:rFonts w:hint="eastAsia" w:ascii="宋体" w:hAnsi="宋体" w:eastAsia="宋体" w:cs="宋体"/>
          <w:sz w:val="24"/>
        </w:rPr>
        <w:t>47.合同的备案</w:t>
      </w:r>
    </w:p>
    <w:p>
      <w:pPr>
        <w:spacing w:line="0" w:lineRule="atLeast"/>
        <w:ind w:firstLine="411" w:firstLineChars="196"/>
        <w:rPr>
          <w:rFonts w:ascii="宋体" w:hAnsi="宋体" w:cs="宋体"/>
          <w:szCs w:val="21"/>
        </w:rPr>
      </w:pPr>
      <w:r>
        <w:rPr>
          <w:rFonts w:hint="eastAsia" w:ascii="宋体" w:hAnsi="宋体" w:eastAsia="宋体" w:cs="宋体"/>
          <w:szCs w:val="21"/>
        </w:rPr>
        <w:t>采购人与中标人应于合同签订之日起10日内，由采购人或委托中标人将采购合同副本抄送医院采购机构备案。</w:t>
      </w:r>
    </w:p>
    <w:p>
      <w:pPr>
        <w:spacing w:line="360" w:lineRule="auto"/>
        <w:rPr>
          <w:rFonts w:ascii="宋体" w:hAnsi="宋体" w:cs="宋体"/>
          <w:sz w:val="24"/>
        </w:rPr>
      </w:pPr>
      <w:r>
        <w:rPr>
          <w:rFonts w:hint="eastAsia" w:ascii="宋体" w:hAnsi="宋体" w:eastAsia="宋体" w:cs="宋体"/>
          <w:sz w:val="24"/>
        </w:rPr>
        <w:t>48.履约情况的反馈</w:t>
      </w:r>
    </w:p>
    <w:p>
      <w:pPr>
        <w:spacing w:line="0" w:lineRule="atLeast"/>
        <w:ind w:firstLine="411" w:firstLineChars="196"/>
        <w:rPr>
          <w:rFonts w:ascii="宋体" w:hAnsi="宋体" w:cs="宋体"/>
          <w:szCs w:val="21"/>
        </w:rPr>
      </w:pPr>
      <w:r>
        <w:rPr>
          <w:rFonts w:hint="eastAsia" w:ascii="宋体" w:hAnsi="宋体" w:eastAsia="宋体" w:cs="宋体"/>
          <w:szCs w:val="21"/>
        </w:rPr>
        <w:t>采购人应及时向医院采购机构反馈中标人的履约情况（填写《深圳大学总医院</w:t>
      </w:r>
      <w:r>
        <w:rPr>
          <w:rFonts w:hint="eastAsia" w:ascii="宋体" w:hAnsi="宋体" w:eastAsia="宋体" w:cs="宋体"/>
        </w:rPr>
        <w:t>采购履约情况反馈表》</w:t>
      </w:r>
      <w:r>
        <w:rPr>
          <w:rFonts w:hint="eastAsia" w:ascii="宋体" w:hAnsi="宋体" w:eastAsia="宋体" w:cs="宋体"/>
          <w:szCs w:val="21"/>
        </w:rPr>
        <w:t>），中标人的履约情况将作为供应商考核的重要依据，并将成为日后深圳大学总医院采购活动中的项目评标依据。</w:t>
      </w:r>
    </w:p>
    <w:p>
      <w:pPr>
        <w:spacing w:line="360" w:lineRule="auto"/>
        <w:rPr>
          <w:rFonts w:ascii="宋体" w:hAnsi="宋体" w:cs="宋体"/>
          <w:sz w:val="24"/>
        </w:rPr>
      </w:pPr>
      <w:r>
        <w:rPr>
          <w:rFonts w:hint="eastAsia" w:ascii="宋体" w:hAnsi="宋体" w:eastAsia="宋体" w:cs="宋体"/>
          <w:sz w:val="24"/>
        </w:rPr>
        <w:t>49．腐败和欺诈行为</w:t>
      </w:r>
    </w:p>
    <w:p>
      <w:pPr>
        <w:spacing w:line="0" w:lineRule="atLeast"/>
        <w:ind w:firstLine="411" w:firstLineChars="196"/>
        <w:rPr>
          <w:rFonts w:ascii="宋体" w:hAnsi="宋体" w:cs="宋体"/>
          <w:szCs w:val="21"/>
        </w:rPr>
      </w:pPr>
      <w:r>
        <w:rPr>
          <w:rFonts w:hint="eastAsia" w:ascii="宋体" w:hAnsi="宋体" w:eastAsia="宋体" w:cs="宋体"/>
          <w:szCs w:val="21"/>
        </w:rPr>
        <w:t>49.1 “腐败行为”是指提供、给予、接受或索取任何有价值的东西来影响招标方或采购人在采购过程或合同实施过程中的行为；</w:t>
      </w:r>
    </w:p>
    <w:p>
      <w:pPr>
        <w:spacing w:line="0" w:lineRule="atLeast"/>
        <w:ind w:firstLine="411" w:firstLineChars="196"/>
        <w:rPr>
          <w:rFonts w:ascii="宋体" w:hAnsi="宋体" w:cs="宋体"/>
          <w:szCs w:val="21"/>
        </w:rPr>
      </w:pPr>
      <w:r>
        <w:rPr>
          <w:rFonts w:hint="eastAsia" w:ascii="宋体" w:hAnsi="宋体" w:eastAsia="宋体" w:cs="宋体"/>
          <w:szCs w:val="21"/>
        </w:rPr>
        <w:t>49.2 “欺诈行为”是指为了影响采购过程或合同实施过程而谎报事实，损害招标方或采购人的利益，包括投标人之间串通投标（递交投标书之前和之后），人为地使投标丧失竞争性，剥夺招标方或采购人从自由公开竞争所能获得的权益。</w:t>
      </w:r>
    </w:p>
    <w:p>
      <w:pPr>
        <w:spacing w:line="0" w:lineRule="atLeast"/>
        <w:ind w:firstLine="411" w:firstLineChars="196"/>
        <w:rPr>
          <w:rFonts w:ascii="宋体" w:hAnsi="宋体" w:cs="宋体"/>
          <w:szCs w:val="21"/>
        </w:rPr>
      </w:pPr>
      <w:r>
        <w:rPr>
          <w:rFonts w:hint="eastAsia" w:ascii="宋体" w:hAnsi="宋体" w:eastAsia="宋体" w:cs="宋体"/>
          <w:szCs w:val="21"/>
        </w:rPr>
        <w:t>49.3如果评审委员会认为投标人在本合同的竞争中有腐败和欺诈行为，则拒绝接受该投标。</w:t>
      </w:r>
    </w:p>
    <w:p>
      <w:pPr>
        <w:spacing w:line="0" w:lineRule="atLeast"/>
        <w:ind w:firstLine="411" w:firstLineChars="196"/>
        <w:rPr>
          <w:rFonts w:ascii="宋体" w:hAnsi="宋体" w:cs="宋体"/>
          <w:szCs w:val="21"/>
        </w:rPr>
      </w:pPr>
      <w:r>
        <w:rPr>
          <w:rFonts w:hint="eastAsia" w:ascii="宋体" w:hAnsi="宋体" w:eastAsia="宋体" w:cs="宋体"/>
          <w:szCs w:val="21"/>
        </w:rPr>
        <w:t>49.4如果投标人或中标人在采购合同的竞争和实施过程中有腐败和欺诈行为，深圳大学总医院将依据《中华人民共和国合同法》、《深圳经济特区政府采购条例》有关法律法规追究其责任。</w:t>
      </w:r>
    </w:p>
    <w:p>
      <w:pPr>
        <w:spacing w:line="0" w:lineRule="atLeast"/>
        <w:ind w:firstLine="411" w:firstLineChars="196"/>
        <w:rPr>
          <w:rFonts w:ascii="宋体" w:hAnsi="宋体" w:cs="宋体"/>
          <w:szCs w:val="21"/>
        </w:rPr>
      </w:pPr>
    </w:p>
    <w:p>
      <w:pPr>
        <w:pStyle w:val="8"/>
        <w:numPr>
          <w:ilvl w:val="0"/>
          <w:numId w:val="20"/>
        </w:numPr>
        <w:tabs>
          <w:tab w:val="left" w:pos="3960"/>
          <w:tab w:val="clear" w:pos="720"/>
        </w:tabs>
        <w:ind w:left="3960"/>
        <w:rPr>
          <w:rFonts w:ascii="宋体" w:hAnsi="宋体" w:eastAsia="宋体" w:cs="宋体"/>
        </w:rPr>
      </w:pPr>
      <w:r>
        <w:rPr>
          <w:rFonts w:hint="eastAsia" w:ascii="宋体" w:hAnsi="宋体" w:eastAsia="宋体" w:cs="宋体"/>
        </w:rPr>
        <w:t>质疑处理</w:t>
      </w:r>
    </w:p>
    <w:p>
      <w:pPr>
        <w:keepNext/>
        <w:keepLines/>
        <w:adjustRightInd w:val="0"/>
        <w:spacing w:before="231" w:beforeLines="50" w:after="231" w:afterLines="50"/>
        <w:textAlignment w:val="baseline"/>
        <w:outlineLvl w:val="1"/>
        <w:rPr>
          <w:rFonts w:ascii="宋体" w:hAnsi="宋体" w:cs="宋体"/>
          <w:b/>
          <w:bCs/>
          <w:sz w:val="32"/>
          <w:szCs w:val="32"/>
        </w:rPr>
      </w:pPr>
    </w:p>
    <w:p>
      <w:pPr>
        <w:spacing w:line="360" w:lineRule="auto"/>
        <w:rPr>
          <w:rFonts w:ascii="宋体" w:hAnsi="宋体" w:cs="宋体"/>
          <w:sz w:val="24"/>
        </w:rPr>
      </w:pPr>
      <w:r>
        <w:rPr>
          <w:rFonts w:hint="eastAsia" w:ascii="宋体" w:hAnsi="宋体" w:eastAsia="宋体" w:cs="宋体"/>
          <w:sz w:val="24"/>
        </w:rPr>
        <w:t>50.质疑处理原则</w:t>
      </w:r>
    </w:p>
    <w:p>
      <w:pPr>
        <w:ind w:firstLine="411" w:firstLineChars="196"/>
        <w:rPr>
          <w:rFonts w:ascii="宋体" w:hAnsi="宋体" w:cs="宋体"/>
          <w:szCs w:val="21"/>
        </w:rPr>
      </w:pPr>
      <w:r>
        <w:rPr>
          <w:rFonts w:hint="eastAsia" w:ascii="宋体" w:hAnsi="宋体" w:eastAsia="宋体" w:cs="宋体"/>
          <w:szCs w:val="21"/>
        </w:rPr>
        <w:t>50.1质疑处理遵循公平、公正、规范、高效的原则。</w:t>
      </w:r>
    </w:p>
    <w:p>
      <w:pPr>
        <w:ind w:firstLine="411" w:firstLineChars="196"/>
        <w:rPr>
          <w:rFonts w:ascii="宋体" w:hAnsi="宋体" w:cs="宋体"/>
          <w:szCs w:val="21"/>
        </w:rPr>
      </w:pPr>
      <w:r>
        <w:rPr>
          <w:rFonts w:hint="eastAsia" w:ascii="宋体" w:hAnsi="宋体" w:eastAsia="宋体" w:cs="宋体"/>
          <w:szCs w:val="21"/>
        </w:rPr>
        <w:t>50.2供应商质疑实行实名制和“谁质疑，谁举证”的原则，质疑应有具体的事项及事实根据。</w:t>
      </w:r>
    </w:p>
    <w:p>
      <w:pPr>
        <w:spacing w:line="360" w:lineRule="auto"/>
        <w:rPr>
          <w:rFonts w:ascii="宋体" w:hAnsi="宋体" w:cs="宋体"/>
          <w:sz w:val="24"/>
        </w:rPr>
      </w:pPr>
      <w:r>
        <w:rPr>
          <w:rFonts w:hint="eastAsia" w:ascii="宋体" w:hAnsi="宋体" w:eastAsia="宋体" w:cs="宋体"/>
          <w:sz w:val="24"/>
        </w:rPr>
        <w:t>51.质疑的提出与答复</w:t>
      </w:r>
    </w:p>
    <w:p>
      <w:pPr>
        <w:ind w:firstLine="411" w:firstLineChars="196"/>
        <w:rPr>
          <w:rFonts w:ascii="宋体" w:hAnsi="宋体" w:cs="宋体"/>
          <w:szCs w:val="21"/>
        </w:rPr>
      </w:pPr>
      <w:r>
        <w:rPr>
          <w:rFonts w:hint="eastAsia" w:ascii="宋体" w:hAnsi="宋体" w:eastAsia="宋体" w:cs="宋体"/>
          <w:szCs w:val="21"/>
        </w:rPr>
        <w:t>51.1提出质疑</w:t>
      </w:r>
    </w:p>
    <w:p>
      <w:pPr>
        <w:ind w:firstLine="411" w:firstLineChars="196"/>
        <w:rPr>
          <w:rFonts w:ascii="宋体" w:hAnsi="宋体" w:cs="宋体"/>
          <w:szCs w:val="21"/>
        </w:rPr>
      </w:pPr>
      <w:r>
        <w:rPr>
          <w:rFonts w:hint="eastAsia" w:ascii="宋体" w:hAnsi="宋体" w:eastAsia="宋体" w:cs="宋体"/>
          <w:szCs w:val="21"/>
        </w:rPr>
        <w:t>参与采购活动的供应商认为自己权益在采购活动中受到损害的，应当自知道或者应当知道其权益受到损害之日起七个工作日内向医院采购机构以书面形式提出质疑。</w:t>
      </w:r>
    </w:p>
    <w:p>
      <w:pPr>
        <w:ind w:firstLine="411" w:firstLineChars="196"/>
        <w:rPr>
          <w:rFonts w:ascii="宋体" w:hAnsi="宋体" w:cs="宋体"/>
          <w:szCs w:val="21"/>
        </w:rPr>
      </w:pPr>
      <w:r>
        <w:rPr>
          <w:rFonts w:hint="eastAsia" w:ascii="宋体" w:hAnsi="宋体" w:eastAsia="宋体" w:cs="宋体"/>
          <w:szCs w:val="21"/>
        </w:rPr>
        <w:t>51.2法律依据</w:t>
      </w:r>
    </w:p>
    <w:p>
      <w:pPr>
        <w:ind w:firstLine="411" w:firstLineChars="196"/>
        <w:rPr>
          <w:rFonts w:ascii="宋体" w:hAnsi="宋体" w:cs="宋体"/>
          <w:szCs w:val="21"/>
        </w:rPr>
      </w:pPr>
      <w:r>
        <w:rPr>
          <w:rFonts w:hint="eastAsia" w:ascii="宋体" w:hAnsi="宋体" w:eastAsia="宋体" w:cs="宋体"/>
          <w:szCs w:val="21"/>
        </w:rPr>
        <w:t>《中华人民共和国政府采购法》、《中华人民共和国政府采购法实施条例》、《深圳经济特区政府采购条例》、《深圳经济特区政府采购条例实施细则》、《政府采购质疑和投诉办法》（财政部令第94号）和其他有关法律法规规定。</w:t>
      </w:r>
    </w:p>
    <w:p>
      <w:pPr>
        <w:ind w:firstLine="411" w:firstLineChars="196"/>
        <w:rPr>
          <w:rFonts w:ascii="宋体" w:hAnsi="宋体" w:cs="宋体"/>
          <w:szCs w:val="21"/>
        </w:rPr>
      </w:pPr>
      <w:r>
        <w:rPr>
          <w:rFonts w:hint="eastAsia" w:ascii="宋体" w:hAnsi="宋体" w:eastAsia="宋体" w:cs="宋体"/>
          <w:szCs w:val="21"/>
        </w:rPr>
        <w:t>51.3质疑条件</w:t>
      </w:r>
    </w:p>
    <w:p>
      <w:pPr>
        <w:ind w:firstLine="411" w:firstLineChars="196"/>
        <w:rPr>
          <w:rFonts w:ascii="宋体" w:hAnsi="宋体" w:cs="宋体"/>
          <w:szCs w:val="21"/>
        </w:rPr>
      </w:pPr>
      <w:r>
        <w:rPr>
          <w:rFonts w:hint="eastAsia" w:ascii="宋体" w:hAnsi="宋体" w:eastAsia="宋体" w:cs="宋体"/>
          <w:szCs w:val="21"/>
        </w:rPr>
        <w:t>51.3.1提出质疑的供应商应当是参与所质疑项目采购活动的供应商；</w:t>
      </w:r>
    </w:p>
    <w:p>
      <w:pPr>
        <w:ind w:firstLine="411" w:firstLineChars="196"/>
        <w:rPr>
          <w:rFonts w:ascii="宋体" w:hAnsi="宋体" w:cs="宋体"/>
          <w:szCs w:val="21"/>
        </w:rPr>
      </w:pPr>
      <w:r>
        <w:rPr>
          <w:rFonts w:hint="eastAsia" w:ascii="宋体" w:hAnsi="宋体" w:eastAsia="宋体" w:cs="宋体"/>
          <w:szCs w:val="21"/>
        </w:rPr>
        <w:t>51.3.2应当在法定质疑期内一次性提出针对同一采购程序环节的质疑，法定质疑期为自知道或应当知道权益受到损害之日起7个工作日内。应当知道其权益受到损害之日是指：对采购文件的质疑，为采购文件公布之日；对采购过程的质疑，为各采购程序环节结束之日；对中标或者成交结果以及评审委员会、谈判小组、竞价小组组成人员的质疑，为中标或者成交结果公示之日；</w:t>
      </w:r>
    </w:p>
    <w:p>
      <w:pPr>
        <w:ind w:firstLine="411" w:firstLineChars="196"/>
        <w:rPr>
          <w:rFonts w:ascii="宋体" w:hAnsi="宋体" w:cs="宋体"/>
          <w:szCs w:val="21"/>
        </w:rPr>
      </w:pPr>
      <w:r>
        <w:rPr>
          <w:rFonts w:hint="eastAsia" w:ascii="宋体" w:hAnsi="宋体" w:eastAsia="宋体" w:cs="宋体"/>
          <w:szCs w:val="21"/>
        </w:rPr>
        <w:t>51.3.3应提交书面质疑函，质疑函应当包括以下内容：（1）具体、明确的质疑事项和与质疑事项相关的请求；（2）合理的事实和依据；（3）必要的证明材料和法律依据。</w:t>
      </w:r>
    </w:p>
    <w:p>
      <w:pPr>
        <w:ind w:firstLine="420"/>
        <w:rPr>
          <w:rFonts w:ascii="宋体" w:hAnsi="宋体" w:cs="宋体"/>
          <w:szCs w:val="21"/>
        </w:rPr>
      </w:pPr>
      <w:r>
        <w:rPr>
          <w:rFonts w:hint="eastAsia" w:ascii="宋体" w:hAnsi="宋体" w:eastAsia="宋体" w:cs="宋体"/>
          <w:szCs w:val="21"/>
        </w:rPr>
        <w:t>51.4提交材料</w:t>
      </w:r>
    </w:p>
    <w:p>
      <w:pPr>
        <w:ind w:firstLine="420"/>
        <w:rPr>
          <w:rFonts w:ascii="宋体" w:hAnsi="宋体" w:cs="宋体"/>
          <w:szCs w:val="21"/>
        </w:rPr>
      </w:pPr>
      <w:r>
        <w:rPr>
          <w:rFonts w:hint="eastAsia" w:ascii="宋体" w:hAnsi="宋体" w:eastAsia="宋体" w:cs="宋体"/>
          <w:szCs w:val="21"/>
        </w:rPr>
        <w:t>质疑函、营业执照复印件、法定代表人证明。如委托代理人提交的，还需提交授权委托书及代理人身份证明。</w:t>
      </w:r>
    </w:p>
    <w:p>
      <w:pPr>
        <w:ind w:firstLine="420"/>
        <w:rPr>
          <w:rFonts w:ascii="宋体" w:hAnsi="宋体" w:cs="宋体"/>
          <w:szCs w:val="21"/>
        </w:rPr>
      </w:pPr>
      <w:r>
        <w:rPr>
          <w:rFonts w:hint="eastAsia" w:ascii="宋体" w:hAnsi="宋体" w:eastAsia="宋体" w:cs="宋体"/>
          <w:szCs w:val="21"/>
        </w:rPr>
        <w:t>51.5 收文部门</w:t>
      </w:r>
    </w:p>
    <w:p>
      <w:pPr>
        <w:ind w:firstLine="420"/>
        <w:rPr>
          <w:rFonts w:ascii="宋体" w:hAnsi="宋体" w:cs="宋体"/>
          <w:szCs w:val="21"/>
        </w:rPr>
      </w:pPr>
      <w:r>
        <w:rPr>
          <w:rFonts w:hint="eastAsia" w:ascii="宋体" w:hAnsi="宋体" w:eastAsia="宋体" w:cs="宋体"/>
          <w:szCs w:val="21"/>
        </w:rPr>
        <w:t>深圳大学总医院招投标管理办公室，地址：深圳市深圳市西丽大学城学苑大道1098号 深圳大学总医院教学楼一楼招投标管理办公室，质疑咨询电话：0755-21839923。</w:t>
      </w:r>
    </w:p>
    <w:p>
      <w:pPr>
        <w:ind w:firstLine="420"/>
        <w:rPr>
          <w:rFonts w:ascii="宋体" w:hAnsi="宋体" w:cs="宋体"/>
          <w:szCs w:val="21"/>
        </w:rPr>
      </w:pPr>
      <w:r>
        <w:rPr>
          <w:rFonts w:hint="eastAsia" w:ascii="宋体" w:hAnsi="宋体" w:eastAsia="宋体" w:cs="宋体"/>
          <w:szCs w:val="21"/>
        </w:rPr>
        <w:t>51.6收文办理程序</w:t>
      </w:r>
    </w:p>
    <w:p>
      <w:pPr>
        <w:ind w:firstLine="420"/>
        <w:rPr>
          <w:rFonts w:ascii="宋体" w:hAnsi="宋体" w:cs="宋体"/>
          <w:szCs w:val="21"/>
        </w:rPr>
      </w:pPr>
      <w:r>
        <w:rPr>
          <w:rFonts w:hint="eastAsia" w:ascii="宋体" w:hAnsi="宋体" w:eastAsia="宋体" w:cs="宋体"/>
          <w:szCs w:val="21"/>
        </w:rPr>
        <w:t>51.6.1供应商提交的质疑材料符合质疑条件的办理收文，出具收文回执；</w:t>
      </w:r>
    </w:p>
    <w:p>
      <w:pPr>
        <w:ind w:firstLine="420"/>
        <w:rPr>
          <w:rFonts w:ascii="宋体" w:hAnsi="宋体" w:cs="宋体"/>
          <w:szCs w:val="21"/>
        </w:rPr>
      </w:pPr>
      <w:r>
        <w:rPr>
          <w:rFonts w:hint="eastAsia" w:ascii="宋体" w:hAnsi="宋体" w:eastAsia="宋体" w:cs="宋体"/>
          <w:szCs w:val="21"/>
        </w:rPr>
        <w:t>51.6.2供应商提交的质疑材料不符合质疑条件的，视情况处理：（1）质疑主体、时限不符合的，不予收文；（2）质疑函内容、提交人身份证明不符合的，开具补正告知书，供应商可在质疑期内补正后重新提交。</w:t>
      </w:r>
    </w:p>
    <w:p>
      <w:pPr>
        <w:ind w:firstLine="420"/>
        <w:rPr>
          <w:rFonts w:ascii="宋体" w:hAnsi="宋体" w:cs="宋体"/>
          <w:szCs w:val="21"/>
        </w:rPr>
      </w:pPr>
      <w:r>
        <w:rPr>
          <w:rFonts w:hint="eastAsia" w:ascii="宋体" w:hAnsi="宋体" w:eastAsia="宋体" w:cs="宋体"/>
          <w:szCs w:val="21"/>
        </w:rPr>
        <w:t>51.7质疑答复时限</w:t>
      </w:r>
    </w:p>
    <w:p>
      <w:pPr>
        <w:ind w:firstLine="420"/>
        <w:rPr>
          <w:rFonts w:ascii="宋体" w:hAnsi="宋体" w:cs="宋体"/>
          <w:szCs w:val="21"/>
        </w:rPr>
      </w:pPr>
      <w:r>
        <w:rPr>
          <w:rFonts w:hint="eastAsia" w:ascii="宋体" w:hAnsi="宋体" w:eastAsia="宋体" w:cs="宋体"/>
          <w:szCs w:val="21"/>
        </w:rPr>
        <w:t>自收文之日起七个工作日内。</w:t>
      </w:r>
    </w:p>
    <w:p>
      <w:pPr>
        <w:ind w:firstLine="420"/>
        <w:rPr>
          <w:rFonts w:ascii="宋体" w:hAnsi="宋体" w:cs="宋体"/>
          <w:szCs w:val="21"/>
        </w:rPr>
      </w:pPr>
      <w:r>
        <w:rPr>
          <w:rFonts w:hint="eastAsia" w:ascii="宋体" w:hAnsi="宋体" w:eastAsia="宋体" w:cs="宋体"/>
          <w:szCs w:val="21"/>
        </w:rPr>
        <w:t>51.8投诉</w:t>
      </w:r>
    </w:p>
    <w:p>
      <w:pPr>
        <w:ind w:firstLine="420"/>
        <w:rPr>
          <w:rFonts w:ascii="宋体" w:hAnsi="宋体" w:cs="宋体"/>
          <w:szCs w:val="21"/>
        </w:rPr>
      </w:pPr>
      <w:r>
        <w:rPr>
          <w:rFonts w:hint="eastAsia" w:ascii="宋体" w:hAnsi="宋体" w:eastAsia="宋体" w:cs="宋体"/>
          <w:szCs w:val="21"/>
        </w:rPr>
        <w:t>对质疑答复不满意或者未在规定时间内答复的，提出质疑的供应商可以在答复期满后15个工作日内向深圳大学总医院纪检、监察部门投诉。</w:t>
      </w:r>
    </w:p>
    <w:p>
      <w:pPr>
        <w:spacing w:line="360" w:lineRule="auto"/>
        <w:rPr>
          <w:rFonts w:ascii="宋体" w:hAnsi="宋体" w:cs="宋体"/>
          <w:sz w:val="24"/>
        </w:rPr>
      </w:pPr>
      <w:r>
        <w:rPr>
          <w:rFonts w:hint="eastAsia" w:ascii="宋体" w:hAnsi="宋体" w:eastAsia="宋体" w:cs="宋体"/>
          <w:sz w:val="24"/>
        </w:rPr>
        <w:t>52.质疑后续处理</w:t>
      </w:r>
    </w:p>
    <w:p>
      <w:pPr>
        <w:ind w:firstLine="411" w:firstLineChars="196"/>
        <w:rPr>
          <w:rFonts w:ascii="宋体" w:hAnsi="宋体" w:cs="宋体"/>
          <w:szCs w:val="21"/>
        </w:rPr>
      </w:pPr>
      <w:r>
        <w:rPr>
          <w:rFonts w:hint="eastAsia" w:ascii="宋体" w:hAnsi="宋体" w:eastAsia="宋体" w:cs="宋体"/>
          <w:szCs w:val="21"/>
        </w:rPr>
        <w:t>52.1供应商质疑不成立，或者成立但未对中标、成交结果构成影响的，继续开展采购活动。</w:t>
      </w:r>
    </w:p>
    <w:p>
      <w:pPr>
        <w:ind w:firstLine="411" w:firstLineChars="196"/>
        <w:rPr>
          <w:rFonts w:ascii="宋体" w:hAnsi="宋体" w:cs="宋体"/>
          <w:szCs w:val="21"/>
        </w:rPr>
      </w:pPr>
      <w:r>
        <w:rPr>
          <w:rFonts w:hint="eastAsia" w:ascii="宋体" w:hAnsi="宋体" w:eastAsia="宋体" w:cs="宋体"/>
          <w:szCs w:val="21"/>
        </w:rPr>
        <w:t>52.2供应商质疑成立且影响或者可能影响中标、成交结果的，按照下列情况处理：（1）对采购文件提出的质疑，依法通过澄清或者修改可以继续开展采购活动的，澄清或者修改采购文件后继续开展采购活动；否则应当修改采购文件后重新开展采购活动。（2）对采购过程、中标或者成交结果提出的质疑，如果合格供应商符合法定数量，依法从合格的中标或者成交候选人中另行确定中标、成交供应商；如果合格供应商不符合法定数量，应当重新开展采购活动。</w:t>
      </w:r>
    </w:p>
    <w:p>
      <w:pPr>
        <w:spacing w:line="240" w:lineRule="atLeast"/>
        <w:rPr>
          <w:rFonts w:ascii="宋体" w:hAnsi="宋体" w:cs="宋体"/>
          <w:szCs w:val="21"/>
        </w:rPr>
      </w:pPr>
    </w:p>
    <w:p/>
    <w:sectPr>
      <w:headerReference r:id="rId3" w:type="default"/>
      <w:footerReference r:id="rId4" w:type="default"/>
      <w:footerReference r:id="rId5" w:type="even"/>
      <w:pgSz w:w="11907" w:h="16840"/>
      <w:pgMar w:top="1440" w:right="1797" w:bottom="1440" w:left="1797" w:header="851" w:footer="992" w:gutter="0"/>
      <w:cols w:space="425" w:num="1"/>
      <w:docGrid w:type="lines" w:linePitch="46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Arial Unicode MS">
    <w:altName w:val="宋体"/>
    <w:panose1 w:val="020B0604020202020204"/>
    <w:charset w:val="86"/>
    <w:family w:val="swiss"/>
    <w:pitch w:val="default"/>
    <w:sig w:usb0="00000000" w:usb1="00000000" w:usb2="0000003F" w:usb3="00000000" w:csb0="003F01FF" w:csb1="00000000"/>
  </w:font>
  <w:font w:name="隶书">
    <w:panose1 w:val="02010509060101010101"/>
    <w:charset w:val="86"/>
    <w:family w:val="modern"/>
    <w:pitch w:val="default"/>
    <w:sig w:usb0="00000001" w:usb1="080E0000" w:usb2="00000000" w:usb3="00000000" w:csb0="00040000" w:csb1="00000000"/>
  </w:font>
  <w:font w:name="等线 Light">
    <w:panose1 w:val="02010600030101010101"/>
    <w:charset w:val="86"/>
    <w:family w:val="auto"/>
    <w:pitch w:val="default"/>
    <w:sig w:usb0="A00002BF" w:usb1="38CF7CFA" w:usb2="00000016" w:usb3="00000000" w:csb0="0004000F" w:csb1="00000000"/>
  </w:font>
  <w:font w:name="Verdana">
    <w:panose1 w:val="020B0604030504040204"/>
    <w:charset w:val="00"/>
    <w:family w:val="swiss"/>
    <w:pitch w:val="default"/>
    <w:sig w:usb0="A00006FF" w:usb1="4000205B" w:usb2="00000010"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长城仿宋">
    <w:altName w:val="仿宋"/>
    <w:panose1 w:val="00000000000000000000"/>
    <w:charset w:val="00"/>
    <w:family w:val="modern"/>
    <w:pitch w:val="default"/>
    <w:sig w:usb0="00000000" w:usb1="00000000" w:usb2="00000010" w:usb3="00000000" w:csb0="00040000" w:csb1="00000000"/>
  </w:font>
  <w:font w:name="Helvetica">
    <w:altName w:val="Arial"/>
    <w:panose1 w:val="020B0604020202020204"/>
    <w:charset w:val="00"/>
    <w:family w:val="swiss"/>
    <w:pitch w:val="default"/>
    <w:sig w:usb0="00000000" w:usb1="00000000" w:usb2="00000009" w:usb3="00000000" w:csb0="000001FF" w:csb1="00000000"/>
  </w:font>
  <w:font w:name="Tahoma">
    <w:panose1 w:val="020B0604030504040204"/>
    <w:charset w:val="00"/>
    <w:family w:val="swiss"/>
    <w:pitch w:val="default"/>
    <w:sig w:usb0="E1002EFF" w:usb1="C000605B" w:usb2="00000029" w:usb3="00000000" w:csb0="200101FF" w:csb1="20280000"/>
  </w:font>
  <w:font w:name="文鼎粗黑">
    <w:altName w:val="黑体"/>
    <w:panose1 w:val="00000000000000000000"/>
    <w:charset w:val="00"/>
    <w:family w:val="modern"/>
    <w:pitch w:val="default"/>
    <w:sig w:usb0="00000000" w:usb1="00000000" w:usb2="00000010" w:usb3="00000000" w:csb0="00040000" w:csb1="00000000"/>
  </w:font>
  <w:font w:name="Arial (W1)">
    <w:altName w:val="Arial"/>
    <w:panose1 w:val="00000000000000000000"/>
    <w:charset w:val="00"/>
    <w:family w:val="swiss"/>
    <w:pitch w:val="default"/>
    <w:sig w:usb0="00000000" w:usb1="00000000" w:usb2="00000009" w:usb3="00000000" w:csb0="000001FF" w:csb1="00000000"/>
  </w:font>
  <w:font w:name="Cambria">
    <w:panose1 w:val="02040503050406030204"/>
    <w:charset w:val="00"/>
    <w:family w:val="roman"/>
    <w:pitch w:val="default"/>
    <w:sig w:usb0="E00006FF" w:usb1="420024FF" w:usb2="02000000" w:usb3="00000000" w:csb0="2000019F" w:csb1="00000000"/>
  </w:font>
  <w:font w:name="ˎ̥">
    <w:altName w:val="Times New Roman"/>
    <w:panose1 w:val="00000000000000000000"/>
    <w:charset w:val="00"/>
    <w:family w:val="auto"/>
    <w:pitch w:val="default"/>
    <w:sig w:usb0="00000000" w:usb1="00000000" w:usb2="00000000" w:usb3="00000000" w:csb0="00040001" w:csb1="00000000"/>
  </w:font>
  <w:font w:name="??">
    <w:altName w:val="Times New Roman"/>
    <w:panose1 w:val="00000000000000000000"/>
    <w:charset w:val="00"/>
    <w:family w:val="auto"/>
    <w:pitch w:val="default"/>
    <w:sig w:usb0="00000000" w:usb1="00000000" w:usb2="00000000" w:usb3="00000000" w:csb0="00040001" w:csb1="00000000"/>
  </w:font>
  <w:font w:name="汉仪细等线简">
    <w:altName w:val="宋体"/>
    <w:panose1 w:val="00000000000000000000"/>
    <w:charset w:val="00"/>
    <w:family w:val="modern"/>
    <w:pitch w:val="default"/>
    <w:sig w:usb0="00000000" w:usb1="00000000" w:usb2="00000012" w:usb3="00000000" w:csb0="00040000" w:csb1="00000000"/>
  </w:font>
  <w:font w:name="H Yb 2gj">
    <w:altName w:val="黑体"/>
    <w:panose1 w:val="00000000000000000000"/>
    <w:charset w:val="86"/>
    <w:family w:val="auto"/>
    <w:pitch w:val="default"/>
    <w:sig w:usb0="00000000" w:usb1="00000000" w:usb2="00000010" w:usb3="00000000" w:csb0="00040000" w:csb1="00000000"/>
  </w:font>
  <w:font w:name="幼圆">
    <w:panose1 w:val="02010509060101010101"/>
    <w:charset w:val="86"/>
    <w:family w:val="modern"/>
    <w:pitch w:val="default"/>
    <w:sig w:usb0="00000001" w:usb1="080E0000" w:usb2="00000000" w:usb3="00000000" w:csb0="00040000" w:csb1="00000000"/>
  </w:font>
  <w:font w:name="文鼎CS书宋二">
    <w:altName w:val="宋体"/>
    <w:panose1 w:val="00000000000000000000"/>
    <w:charset w:val="86"/>
    <w:family w:val="modern"/>
    <w:pitch w:val="default"/>
    <w:sig w:usb0="00000000" w:usb1="00000000" w:usb2="00000010" w:usb3="00000000" w:csb0="00040000" w:csb1="00000000"/>
  </w:font>
  <w:font w:name="创艺简黑体">
    <w:altName w:val="黑体"/>
    <w:panose1 w:val="00000000000000000000"/>
    <w:charset w:val="86"/>
    <w:family w:val="auto"/>
    <w:pitch w:val="default"/>
    <w:sig w:usb0="00000000" w:usb1="00000000" w:usb2="00000010" w:usb3="00000000" w:csb0="00040000" w:csb1="00000000"/>
  </w:font>
  <w:font w:name="文鼎CS大宋">
    <w:altName w:val="宋体"/>
    <w:panose1 w:val="00000000000000000000"/>
    <w:charset w:val="86"/>
    <w:family w:val="modern"/>
    <w:pitch w:val="default"/>
    <w:sig w:usb0="00000000" w:usb1="00000000" w:usb2="00000010" w:usb3="00000000" w:csb0="00040000" w:csb1="00000000"/>
  </w:font>
  <w:font w:name="文鼎CS长美黑">
    <w:altName w:val="宋体"/>
    <w:panose1 w:val="00000000000000000000"/>
    <w:charset w:val="86"/>
    <w:family w:val="modern"/>
    <w:pitch w:val="default"/>
    <w:sig w:usb0="00000000" w:usb1="00000000" w:usb2="00000010" w:usb3="00000000" w:csb0="00040000" w:csb1="00000000"/>
  </w:font>
  <w:font w:name="文鼎中楷">
    <w:altName w:val="仿宋"/>
    <w:panose1 w:val="00000000000000000000"/>
    <w:charset w:val="86"/>
    <w:family w:val="modern"/>
    <w:pitch w:val="default"/>
    <w:sig w:usb0="00000000" w:usb1="00000000" w:usb2="00000010" w:usb3="00000000" w:csb0="00040000"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framePr w:wrap="around" w:vAnchor="text" w:hAnchor="margin" w:xAlign="center" w:y="1"/>
      <w:rPr>
        <w:rStyle w:val="58"/>
      </w:rPr>
    </w:pPr>
    <w:r>
      <w:t xml:space="preserve">- </w:t>
    </w:r>
    <w:r>
      <w:fldChar w:fldCharType="begin"/>
    </w:r>
    <w:r>
      <w:instrText xml:space="preserve"> PAGE </w:instrText>
    </w:r>
    <w:r>
      <w:fldChar w:fldCharType="separate"/>
    </w:r>
    <w:r>
      <w:t>11</w:t>
    </w:r>
    <w:r>
      <w:fldChar w:fldCharType="end"/>
    </w:r>
    <w:r>
      <w:t xml:space="preserve"> -</w:t>
    </w:r>
  </w:p>
  <w:p>
    <w:pPr>
      <w:pStyle w:val="3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framePr w:wrap="around" w:vAnchor="text" w:hAnchor="margin" w:xAlign="center" w:y="1"/>
      <w:rPr>
        <w:rStyle w:val="58"/>
      </w:rPr>
    </w:pPr>
    <w:r>
      <w:rPr>
        <w:rStyle w:val="58"/>
      </w:rPr>
      <w:fldChar w:fldCharType="begin"/>
    </w:r>
    <w:r>
      <w:rPr>
        <w:rStyle w:val="58"/>
      </w:rPr>
      <w:instrText xml:space="preserve">PAGE  </w:instrText>
    </w:r>
    <w:r>
      <w:rPr>
        <w:rStyle w:val="58"/>
      </w:rPr>
      <w:fldChar w:fldCharType="end"/>
    </w:r>
  </w:p>
  <w:p>
    <w:pPr>
      <w:pStyle w:val="3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7"/>
      <w:jc w:val="left"/>
    </w:pPr>
    <w:r>
      <w:rPr>
        <w:rFonts w:hint="eastAsia"/>
      </w:rPr>
      <w:t xml:space="preserve">深圳大学总医院招投标管理办公室                                          SUGHCG2024010FW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102BA2C"/>
    <w:multiLevelType w:val="singleLevel"/>
    <w:tmpl w:val="8102BA2C"/>
    <w:lvl w:ilvl="0" w:tentative="0">
      <w:start w:val="1"/>
      <w:numFmt w:val="chineseCounting"/>
      <w:suff w:val="nothing"/>
      <w:lvlText w:val="（%1）"/>
      <w:lvlJc w:val="left"/>
      <w:rPr>
        <w:rFonts w:hint="eastAsia"/>
      </w:rPr>
    </w:lvl>
  </w:abstractNum>
  <w:abstractNum w:abstractNumId="1">
    <w:nsid w:val="B80AB3CA"/>
    <w:multiLevelType w:val="singleLevel"/>
    <w:tmpl w:val="B80AB3CA"/>
    <w:lvl w:ilvl="0" w:tentative="0">
      <w:start w:val="1"/>
      <w:numFmt w:val="decimal"/>
      <w:suff w:val="nothing"/>
      <w:lvlText w:val="%1、"/>
      <w:lvlJc w:val="left"/>
    </w:lvl>
  </w:abstractNum>
  <w:abstractNum w:abstractNumId="2">
    <w:nsid w:val="D8526A8E"/>
    <w:multiLevelType w:val="singleLevel"/>
    <w:tmpl w:val="D8526A8E"/>
    <w:lvl w:ilvl="0" w:tentative="0">
      <w:start w:val="2"/>
      <w:numFmt w:val="chineseCounting"/>
      <w:suff w:val="nothing"/>
      <w:lvlText w:val="%1、"/>
      <w:lvlJc w:val="left"/>
      <w:rPr>
        <w:rFonts w:hint="eastAsia"/>
      </w:rPr>
    </w:lvl>
  </w:abstractNum>
  <w:abstractNum w:abstractNumId="3">
    <w:nsid w:val="FFFFFF7C"/>
    <w:multiLevelType w:val="singleLevel"/>
    <w:tmpl w:val="FFFFFF7C"/>
    <w:lvl w:ilvl="0" w:tentative="0">
      <w:start w:val="1"/>
      <w:numFmt w:val="decimal"/>
      <w:pStyle w:val="115"/>
      <w:lvlText w:val="%1."/>
      <w:lvlJc w:val="left"/>
      <w:pPr>
        <w:tabs>
          <w:tab w:val="left" w:pos="2040"/>
        </w:tabs>
        <w:ind w:left="2040" w:leftChars="800" w:hanging="360" w:hangingChars="200"/>
      </w:pPr>
    </w:lvl>
  </w:abstractNum>
  <w:abstractNum w:abstractNumId="4">
    <w:nsid w:val="FFFFFF89"/>
    <w:multiLevelType w:val="singleLevel"/>
    <w:tmpl w:val="FFFFFF89"/>
    <w:lvl w:ilvl="0" w:tentative="0">
      <w:start w:val="1"/>
      <w:numFmt w:val="bullet"/>
      <w:pStyle w:val="16"/>
      <w:lvlText w:val=""/>
      <w:lvlJc w:val="left"/>
      <w:pPr>
        <w:tabs>
          <w:tab w:val="left" w:pos="360"/>
        </w:tabs>
        <w:ind w:left="360" w:hanging="360" w:hangingChars="200"/>
      </w:pPr>
      <w:rPr>
        <w:rFonts w:hint="default" w:ascii="Wingdings" w:hAnsi="Wingdings"/>
      </w:rPr>
    </w:lvl>
  </w:abstractNum>
  <w:abstractNum w:abstractNumId="5">
    <w:nsid w:val="09F81FD3"/>
    <w:multiLevelType w:val="multilevel"/>
    <w:tmpl w:val="09F81FD3"/>
    <w:lvl w:ilvl="0" w:tentative="0">
      <w:start w:val="1"/>
      <w:numFmt w:val="japaneseCounting"/>
      <w:lvlText w:val="第%1章"/>
      <w:lvlJc w:val="left"/>
      <w:pPr>
        <w:tabs>
          <w:tab w:val="left" w:pos="720"/>
        </w:tabs>
        <w:ind w:left="720" w:hanging="72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6">
    <w:nsid w:val="0DB17723"/>
    <w:multiLevelType w:val="singleLevel"/>
    <w:tmpl w:val="0DB17723"/>
    <w:lvl w:ilvl="0" w:tentative="0">
      <w:start w:val="1"/>
      <w:numFmt w:val="decimal"/>
      <w:lvlText w:val="%1."/>
      <w:lvlJc w:val="left"/>
      <w:pPr>
        <w:tabs>
          <w:tab w:val="left" w:pos="312"/>
        </w:tabs>
      </w:pPr>
    </w:lvl>
  </w:abstractNum>
  <w:abstractNum w:abstractNumId="7">
    <w:nsid w:val="12503483"/>
    <w:multiLevelType w:val="multilevel"/>
    <w:tmpl w:val="12503483"/>
    <w:lvl w:ilvl="0" w:tentative="0">
      <w:start w:val="1"/>
      <w:numFmt w:val="bullet"/>
      <w:pStyle w:val="146"/>
      <w:lvlText w:val=""/>
      <w:lvlJc w:val="left"/>
      <w:pPr>
        <w:tabs>
          <w:tab w:val="left" w:pos="420"/>
        </w:tabs>
        <w:ind w:left="420" w:hanging="420"/>
      </w:pPr>
      <w:rPr>
        <w:rFonts w:hint="default" w:ascii="Wingdings" w:hAnsi="Wingdings"/>
      </w:rPr>
    </w:lvl>
    <w:lvl w:ilvl="1" w:tentative="0">
      <w:start w:val="1"/>
      <w:numFmt w:val="bullet"/>
      <w:pStyle w:val="145"/>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8">
    <w:nsid w:val="160D20D0"/>
    <w:multiLevelType w:val="multilevel"/>
    <w:tmpl w:val="160D20D0"/>
    <w:lvl w:ilvl="0" w:tentative="0">
      <w:start w:val="1"/>
      <w:numFmt w:val="bullet"/>
      <w:pStyle w:val="131"/>
      <w:lvlText w:val=""/>
      <w:lvlJc w:val="left"/>
      <w:pPr>
        <w:tabs>
          <w:tab w:val="left" w:pos="840"/>
        </w:tabs>
        <w:ind w:left="840" w:hanging="420"/>
      </w:pPr>
      <w:rPr>
        <w:rFonts w:hint="default" w:ascii="Wingdings" w:hAnsi="Wingdings"/>
      </w:rPr>
    </w:lvl>
    <w:lvl w:ilvl="1" w:tentative="0">
      <w:start w:val="1"/>
      <w:numFmt w:val="bullet"/>
      <w:pStyle w:val="132"/>
      <w:lvlText w:val=""/>
      <w:lvlJc w:val="left"/>
      <w:pPr>
        <w:tabs>
          <w:tab w:val="left" w:pos="1260"/>
        </w:tabs>
        <w:ind w:left="1260" w:hanging="420"/>
      </w:pPr>
      <w:rPr>
        <w:rFonts w:hint="default" w:ascii="Wingdings" w:hAnsi="Wingdings"/>
      </w:rPr>
    </w:lvl>
    <w:lvl w:ilvl="2" w:tentative="0">
      <w:start w:val="1"/>
      <w:numFmt w:val="bullet"/>
      <w:lvlText w:val=""/>
      <w:lvlJc w:val="left"/>
      <w:pPr>
        <w:tabs>
          <w:tab w:val="left" w:pos="1680"/>
        </w:tabs>
        <w:ind w:left="1680" w:hanging="420"/>
      </w:pPr>
      <w:rPr>
        <w:rFonts w:hint="default" w:ascii="Wingdings" w:hAnsi="Wingdings"/>
      </w:rPr>
    </w:lvl>
    <w:lvl w:ilvl="3" w:tentative="0">
      <w:start w:val="1"/>
      <w:numFmt w:val="bullet"/>
      <w:lvlText w:val=""/>
      <w:lvlJc w:val="left"/>
      <w:pPr>
        <w:tabs>
          <w:tab w:val="left" w:pos="2100"/>
        </w:tabs>
        <w:ind w:left="2100" w:hanging="420"/>
      </w:pPr>
      <w:rPr>
        <w:rFonts w:hint="default" w:ascii="Wingdings" w:hAnsi="Wingdings"/>
      </w:rPr>
    </w:lvl>
    <w:lvl w:ilvl="4" w:tentative="0">
      <w:start w:val="1"/>
      <w:numFmt w:val="bullet"/>
      <w:lvlText w:val=""/>
      <w:lvlJc w:val="left"/>
      <w:pPr>
        <w:tabs>
          <w:tab w:val="left" w:pos="2520"/>
        </w:tabs>
        <w:ind w:left="2520" w:hanging="420"/>
      </w:pPr>
      <w:rPr>
        <w:rFonts w:hint="default" w:ascii="Wingdings" w:hAnsi="Wingdings"/>
      </w:rPr>
    </w:lvl>
    <w:lvl w:ilvl="5" w:tentative="0">
      <w:start w:val="1"/>
      <w:numFmt w:val="bullet"/>
      <w:lvlText w:val=""/>
      <w:lvlJc w:val="left"/>
      <w:pPr>
        <w:tabs>
          <w:tab w:val="left" w:pos="2940"/>
        </w:tabs>
        <w:ind w:left="2940" w:hanging="420"/>
      </w:pPr>
      <w:rPr>
        <w:rFonts w:hint="default" w:ascii="Wingdings" w:hAnsi="Wingdings"/>
      </w:rPr>
    </w:lvl>
    <w:lvl w:ilvl="6" w:tentative="0">
      <w:start w:val="1"/>
      <w:numFmt w:val="bullet"/>
      <w:lvlText w:val=""/>
      <w:lvlJc w:val="left"/>
      <w:pPr>
        <w:tabs>
          <w:tab w:val="left" w:pos="3360"/>
        </w:tabs>
        <w:ind w:left="3360" w:hanging="420"/>
      </w:pPr>
      <w:rPr>
        <w:rFonts w:hint="default" w:ascii="Wingdings" w:hAnsi="Wingdings"/>
      </w:rPr>
    </w:lvl>
    <w:lvl w:ilvl="7" w:tentative="0">
      <w:start w:val="1"/>
      <w:numFmt w:val="bullet"/>
      <w:lvlText w:val=""/>
      <w:lvlJc w:val="left"/>
      <w:pPr>
        <w:tabs>
          <w:tab w:val="left" w:pos="3780"/>
        </w:tabs>
        <w:ind w:left="3780" w:hanging="420"/>
      </w:pPr>
      <w:rPr>
        <w:rFonts w:hint="default" w:ascii="Wingdings" w:hAnsi="Wingdings"/>
      </w:rPr>
    </w:lvl>
    <w:lvl w:ilvl="8" w:tentative="0">
      <w:start w:val="1"/>
      <w:numFmt w:val="bullet"/>
      <w:lvlText w:val=""/>
      <w:lvlJc w:val="left"/>
      <w:pPr>
        <w:tabs>
          <w:tab w:val="left" w:pos="4200"/>
        </w:tabs>
        <w:ind w:left="4200" w:hanging="420"/>
      </w:pPr>
      <w:rPr>
        <w:rFonts w:hint="default" w:ascii="Wingdings" w:hAnsi="Wingdings"/>
      </w:rPr>
    </w:lvl>
  </w:abstractNum>
  <w:abstractNum w:abstractNumId="9">
    <w:nsid w:val="161F5510"/>
    <w:multiLevelType w:val="singleLevel"/>
    <w:tmpl w:val="161F5510"/>
    <w:lvl w:ilvl="0" w:tentative="0">
      <w:start w:val="5"/>
      <w:numFmt w:val="chineseCounting"/>
      <w:suff w:val="nothing"/>
      <w:lvlText w:val="%1、"/>
      <w:lvlJc w:val="left"/>
      <w:pPr>
        <w:ind w:left="2520"/>
      </w:pPr>
      <w:rPr>
        <w:rFonts w:hint="eastAsia"/>
      </w:rPr>
    </w:lvl>
  </w:abstractNum>
  <w:abstractNum w:abstractNumId="10">
    <w:nsid w:val="2F395B7B"/>
    <w:multiLevelType w:val="multilevel"/>
    <w:tmpl w:val="2F395B7B"/>
    <w:lvl w:ilvl="0" w:tentative="0">
      <w:start w:val="1"/>
      <w:numFmt w:val="bullet"/>
      <w:pStyle w:val="208"/>
      <w:lvlText w:val=""/>
      <w:lvlJc w:val="left"/>
      <w:pPr>
        <w:tabs>
          <w:tab w:val="left" w:pos="360"/>
        </w:tabs>
        <w:ind w:left="360" w:hanging="360"/>
      </w:pPr>
      <w:rPr>
        <w:rFonts w:hint="default" w:ascii="Symbol" w:hAnsi="Symbol"/>
      </w:rPr>
    </w:lvl>
    <w:lvl w:ilvl="1" w:tentative="0">
      <w:start w:val="1"/>
      <w:numFmt w:val="bullet"/>
      <w:lvlText w:val=""/>
      <w:lvlJc w:val="left"/>
      <w:pPr>
        <w:tabs>
          <w:tab w:val="left" w:pos="1140"/>
        </w:tabs>
        <w:ind w:left="1140" w:hanging="420"/>
      </w:pPr>
      <w:rPr>
        <w:rFonts w:hint="default" w:ascii="Wingdings" w:hAnsi="Wingdings"/>
      </w:rPr>
    </w:lvl>
    <w:lvl w:ilvl="2" w:tentative="0">
      <w:start w:val="1"/>
      <w:numFmt w:val="bullet"/>
      <w:lvlText w:val=""/>
      <w:lvlJc w:val="left"/>
      <w:pPr>
        <w:tabs>
          <w:tab w:val="left" w:pos="1800"/>
        </w:tabs>
        <w:ind w:left="1800" w:hanging="360"/>
      </w:pPr>
      <w:rPr>
        <w:rFonts w:hint="default" w:ascii="Wingdings" w:hAnsi="Wingdings"/>
      </w:rPr>
    </w:lvl>
    <w:lvl w:ilvl="3" w:tentative="0">
      <w:start w:val="1"/>
      <w:numFmt w:val="bullet"/>
      <w:lvlText w:val=""/>
      <w:lvlJc w:val="left"/>
      <w:pPr>
        <w:tabs>
          <w:tab w:val="left" w:pos="2520"/>
        </w:tabs>
        <w:ind w:left="2520" w:hanging="360"/>
      </w:pPr>
      <w:rPr>
        <w:rFonts w:hint="default" w:ascii="Symbol" w:hAnsi="Symbol"/>
      </w:rPr>
    </w:lvl>
    <w:lvl w:ilvl="4" w:tentative="0">
      <w:start w:val="1"/>
      <w:numFmt w:val="bullet"/>
      <w:lvlText w:val="o"/>
      <w:lvlJc w:val="left"/>
      <w:pPr>
        <w:tabs>
          <w:tab w:val="left" w:pos="3240"/>
        </w:tabs>
        <w:ind w:left="3240" w:hanging="360"/>
      </w:pPr>
      <w:rPr>
        <w:rFonts w:hint="default" w:ascii="Courier New" w:hAnsi="Courier New" w:cs="Courier New"/>
      </w:rPr>
    </w:lvl>
    <w:lvl w:ilvl="5" w:tentative="0">
      <w:start w:val="1"/>
      <w:numFmt w:val="bullet"/>
      <w:lvlText w:val=""/>
      <w:lvlJc w:val="left"/>
      <w:pPr>
        <w:tabs>
          <w:tab w:val="left" w:pos="3960"/>
        </w:tabs>
        <w:ind w:left="3960" w:hanging="360"/>
      </w:pPr>
      <w:rPr>
        <w:rFonts w:hint="default" w:ascii="Wingdings" w:hAnsi="Wingdings"/>
      </w:rPr>
    </w:lvl>
    <w:lvl w:ilvl="6" w:tentative="0">
      <w:start w:val="1"/>
      <w:numFmt w:val="bullet"/>
      <w:lvlText w:val=""/>
      <w:lvlJc w:val="left"/>
      <w:pPr>
        <w:tabs>
          <w:tab w:val="left" w:pos="4680"/>
        </w:tabs>
        <w:ind w:left="4680" w:hanging="360"/>
      </w:pPr>
      <w:rPr>
        <w:rFonts w:hint="default" w:ascii="Symbol" w:hAnsi="Symbol"/>
      </w:rPr>
    </w:lvl>
    <w:lvl w:ilvl="7" w:tentative="0">
      <w:start w:val="1"/>
      <w:numFmt w:val="bullet"/>
      <w:lvlText w:val="o"/>
      <w:lvlJc w:val="left"/>
      <w:pPr>
        <w:tabs>
          <w:tab w:val="left" w:pos="5400"/>
        </w:tabs>
        <w:ind w:left="5400" w:hanging="360"/>
      </w:pPr>
      <w:rPr>
        <w:rFonts w:hint="default" w:ascii="Courier New" w:hAnsi="Courier New" w:cs="Courier New"/>
      </w:rPr>
    </w:lvl>
    <w:lvl w:ilvl="8" w:tentative="0">
      <w:start w:val="1"/>
      <w:numFmt w:val="bullet"/>
      <w:lvlText w:val=""/>
      <w:lvlJc w:val="left"/>
      <w:pPr>
        <w:tabs>
          <w:tab w:val="left" w:pos="6120"/>
        </w:tabs>
        <w:ind w:left="6120" w:hanging="360"/>
      </w:pPr>
      <w:rPr>
        <w:rFonts w:hint="default" w:ascii="Wingdings" w:hAnsi="Wingdings"/>
      </w:rPr>
    </w:lvl>
  </w:abstractNum>
  <w:abstractNum w:abstractNumId="11">
    <w:nsid w:val="3AE1101E"/>
    <w:multiLevelType w:val="multilevel"/>
    <w:tmpl w:val="3AE1101E"/>
    <w:lvl w:ilvl="0" w:tentative="0">
      <w:start w:val="1"/>
      <w:numFmt w:val="decimal"/>
      <w:lvlText w:val="%1."/>
      <w:lvlJc w:val="left"/>
      <w:pPr>
        <w:tabs>
          <w:tab w:val="left" w:pos="567"/>
        </w:tabs>
        <w:ind w:left="567" w:hanging="113"/>
      </w:pPr>
      <w:rPr>
        <w:rFonts w:hint="eastAsia"/>
      </w:rPr>
    </w:lvl>
    <w:lvl w:ilvl="1" w:tentative="0">
      <w:start w:val="1"/>
      <w:numFmt w:val="decimal"/>
      <w:suff w:val="space"/>
      <w:lvlText w:val="%1.%2"/>
      <w:lvlJc w:val="left"/>
      <w:pPr>
        <w:ind w:left="0" w:firstLine="454"/>
      </w:pPr>
      <w:rPr>
        <w:rFonts w:hint="eastAsia"/>
      </w:rPr>
    </w:lvl>
    <w:lvl w:ilvl="2" w:tentative="0">
      <w:start w:val="1"/>
      <w:numFmt w:val="lowerLetter"/>
      <w:suff w:val="space"/>
      <w:lvlText w:val="(%3) "/>
      <w:lvlJc w:val="left"/>
      <w:pPr>
        <w:ind w:left="851" w:hanging="397"/>
      </w:pPr>
      <w:rPr>
        <w:rFonts w:hint="eastAsia"/>
      </w:rPr>
    </w:lvl>
    <w:lvl w:ilvl="3" w:tentative="0">
      <w:start w:val="1"/>
      <w:numFmt w:val="decimal"/>
      <w:suff w:val="space"/>
      <w:lvlText w:val="(%4) "/>
      <w:lvlJc w:val="left"/>
      <w:pPr>
        <w:ind w:left="851" w:hanging="397"/>
      </w:pPr>
      <w:rPr>
        <w:rFonts w:hint="eastAsia"/>
      </w:rPr>
    </w:lvl>
    <w:lvl w:ilvl="4" w:tentative="0">
      <w:start w:val="1"/>
      <w:numFmt w:val="decimal"/>
      <w:lvlText w:val="%1.%2.%3.%4.%5"/>
      <w:lvlJc w:val="left"/>
      <w:pPr>
        <w:tabs>
          <w:tab w:val="left" w:pos="2781"/>
        </w:tabs>
        <w:ind w:left="2551" w:hanging="850"/>
      </w:pPr>
      <w:rPr>
        <w:rFonts w:hint="eastAsia"/>
      </w:rPr>
    </w:lvl>
    <w:lvl w:ilvl="5" w:tentative="0">
      <w:start w:val="1"/>
      <w:numFmt w:val="decimal"/>
      <w:lvlText w:val="%1.%2.%3.%4.%5.%6"/>
      <w:lvlJc w:val="left"/>
      <w:pPr>
        <w:tabs>
          <w:tab w:val="left" w:pos="3566"/>
        </w:tabs>
        <w:ind w:left="3260" w:hanging="1134"/>
      </w:pPr>
      <w:rPr>
        <w:rFonts w:hint="eastAsia"/>
      </w:rPr>
    </w:lvl>
    <w:lvl w:ilvl="6" w:tentative="0">
      <w:start w:val="1"/>
      <w:numFmt w:val="decimal"/>
      <w:lvlText w:val="%1.%2.%3.%4.%5.%6.%7"/>
      <w:lvlJc w:val="left"/>
      <w:pPr>
        <w:tabs>
          <w:tab w:val="left" w:pos="4351"/>
        </w:tabs>
        <w:ind w:left="3827" w:hanging="1276"/>
      </w:pPr>
      <w:rPr>
        <w:rFonts w:hint="eastAsia"/>
      </w:rPr>
    </w:lvl>
    <w:lvl w:ilvl="7" w:tentative="0">
      <w:start w:val="1"/>
      <w:numFmt w:val="decimal"/>
      <w:lvlText w:val="%1.%2.%3.%4.%5.%6.%7.%8"/>
      <w:lvlJc w:val="left"/>
      <w:pPr>
        <w:tabs>
          <w:tab w:val="left" w:pos="4776"/>
        </w:tabs>
        <w:ind w:left="4394" w:hanging="1418"/>
      </w:pPr>
      <w:rPr>
        <w:rFonts w:hint="eastAsia"/>
      </w:rPr>
    </w:lvl>
    <w:lvl w:ilvl="8" w:tentative="0">
      <w:start w:val="1"/>
      <w:numFmt w:val="decimal"/>
      <w:lvlText w:val="%1.%2.%3.%4.%5.%6.%7.%8.%9"/>
      <w:lvlJc w:val="left"/>
      <w:pPr>
        <w:tabs>
          <w:tab w:val="left" w:pos="5562"/>
        </w:tabs>
        <w:ind w:left="5102" w:hanging="1700"/>
      </w:pPr>
      <w:rPr>
        <w:rFonts w:hint="eastAsia"/>
      </w:rPr>
    </w:lvl>
  </w:abstractNum>
  <w:abstractNum w:abstractNumId="12">
    <w:nsid w:val="3DC4EAB4"/>
    <w:multiLevelType w:val="singleLevel"/>
    <w:tmpl w:val="3DC4EAB4"/>
    <w:lvl w:ilvl="0" w:tentative="0">
      <w:start w:val="1"/>
      <w:numFmt w:val="chineseCounting"/>
      <w:suff w:val="space"/>
      <w:lvlText w:val="第%1章"/>
      <w:lvlJc w:val="left"/>
      <w:rPr>
        <w:rFonts w:hint="eastAsia"/>
      </w:rPr>
    </w:lvl>
  </w:abstractNum>
  <w:abstractNum w:abstractNumId="13">
    <w:nsid w:val="46E9F730"/>
    <w:multiLevelType w:val="singleLevel"/>
    <w:tmpl w:val="46E9F730"/>
    <w:lvl w:ilvl="0" w:tentative="0">
      <w:start w:val="2"/>
      <w:numFmt w:val="decimal"/>
      <w:lvlText w:val="%1."/>
      <w:lvlJc w:val="left"/>
      <w:pPr>
        <w:tabs>
          <w:tab w:val="left" w:pos="312"/>
        </w:tabs>
      </w:pPr>
    </w:lvl>
  </w:abstractNum>
  <w:abstractNum w:abstractNumId="14">
    <w:nsid w:val="4E890F31"/>
    <w:multiLevelType w:val="singleLevel"/>
    <w:tmpl w:val="4E890F31"/>
    <w:lvl w:ilvl="0" w:tentative="0">
      <w:start w:val="1"/>
      <w:numFmt w:val="decimal"/>
      <w:suff w:val="nothing"/>
      <w:lvlText w:val="（%1）"/>
      <w:lvlJc w:val="left"/>
    </w:lvl>
  </w:abstractNum>
  <w:abstractNum w:abstractNumId="15">
    <w:nsid w:val="58BBE526"/>
    <w:multiLevelType w:val="singleLevel"/>
    <w:tmpl w:val="58BBE526"/>
    <w:lvl w:ilvl="0" w:tentative="0">
      <w:start w:val="3"/>
      <w:numFmt w:val="chineseCounting"/>
      <w:suff w:val="nothing"/>
      <w:lvlText w:val="%1、"/>
      <w:lvlJc w:val="left"/>
      <w:rPr>
        <w:rFonts w:hint="eastAsia"/>
      </w:rPr>
    </w:lvl>
  </w:abstractNum>
  <w:abstractNum w:abstractNumId="16">
    <w:nsid w:val="626242F4"/>
    <w:multiLevelType w:val="singleLevel"/>
    <w:tmpl w:val="626242F4"/>
    <w:lvl w:ilvl="0" w:tentative="0">
      <w:start w:val="4"/>
      <w:numFmt w:val="chineseCounting"/>
      <w:suff w:val="space"/>
      <w:lvlText w:val="第%1章"/>
      <w:lvlJc w:val="left"/>
      <w:rPr>
        <w:rFonts w:hint="eastAsia"/>
      </w:rPr>
    </w:lvl>
  </w:abstractNum>
  <w:abstractNum w:abstractNumId="17">
    <w:nsid w:val="64637CB3"/>
    <w:multiLevelType w:val="singleLevel"/>
    <w:tmpl w:val="64637CB3"/>
    <w:lvl w:ilvl="0" w:tentative="0">
      <w:start w:val="1"/>
      <w:numFmt w:val="decimal"/>
      <w:suff w:val="space"/>
      <w:lvlText w:val="%1."/>
      <w:lvlJc w:val="left"/>
    </w:lvl>
  </w:abstractNum>
  <w:abstractNum w:abstractNumId="18">
    <w:nsid w:val="7AEF7716"/>
    <w:multiLevelType w:val="multilevel"/>
    <w:tmpl w:val="7AEF7716"/>
    <w:lvl w:ilvl="0" w:tentative="0">
      <w:start w:val="1"/>
      <w:numFmt w:val="chineseCountingThousand"/>
      <w:pStyle w:val="159"/>
      <w:lvlText w:val="%1"/>
      <w:lvlJc w:val="left"/>
      <w:pPr>
        <w:tabs>
          <w:tab w:val="left" w:pos="1290"/>
        </w:tabs>
        <w:ind w:left="630" w:hanging="420"/>
      </w:pPr>
      <w:rPr>
        <w:rFonts w:hint="eastAsia"/>
        <w:sz w:val="32"/>
        <w:szCs w:val="32"/>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9">
    <w:nsid w:val="7BAA8FBA"/>
    <w:multiLevelType w:val="singleLevel"/>
    <w:tmpl w:val="7BAA8FBA"/>
    <w:lvl w:ilvl="0" w:tentative="0">
      <w:start w:val="1"/>
      <w:numFmt w:val="decimal"/>
      <w:suff w:val="space"/>
      <w:lvlText w:val="%1）"/>
      <w:lvlJc w:val="left"/>
    </w:lvl>
  </w:abstractNum>
  <w:num w:numId="1">
    <w:abstractNumId w:val="4"/>
  </w:num>
  <w:num w:numId="2">
    <w:abstractNumId w:val="3"/>
  </w:num>
  <w:num w:numId="3">
    <w:abstractNumId w:val="8"/>
  </w:num>
  <w:num w:numId="4">
    <w:abstractNumId w:val="7"/>
  </w:num>
  <w:num w:numId="5">
    <w:abstractNumId w:val="18"/>
  </w:num>
  <w:num w:numId="6">
    <w:abstractNumId w:val="10"/>
  </w:num>
  <w:num w:numId="7">
    <w:abstractNumId w:val="11"/>
    <w:lvlOverride w:ilvl="0">
      <w:lvl w:ilvl="0" w:tentative="1">
        <w:start w:val="1"/>
        <w:numFmt w:val="decimal"/>
        <w:suff w:val="space"/>
        <w:lvlText w:val="%1."/>
        <w:lvlJc w:val="left"/>
        <w:pPr>
          <w:ind w:left="833" w:hanging="113"/>
        </w:pPr>
        <w:rPr>
          <w:rFonts w:hint="eastAsia" w:ascii="Times New Roman" w:hAnsi="Times New Roman" w:eastAsia="宋体"/>
          <w:b/>
          <w:bCs/>
          <w:i w:val="0"/>
          <w:iCs w:val="0"/>
          <w:caps w:val="0"/>
          <w:smallCaps w:val="0"/>
          <w:strike w:val="0"/>
          <w:dstrike w:val="0"/>
          <w:outline w:val="0"/>
          <w:shadow w:val="0"/>
          <w:emboss w:val="0"/>
          <w:imprint w:val="0"/>
          <w:color w:val="auto"/>
          <w:spacing w:val="0"/>
          <w:w w:val="100"/>
          <w:kern w:val="2"/>
          <w:position w:val="0"/>
          <w:sz w:val="24"/>
          <w:u w:val="none"/>
        </w:rPr>
      </w:lvl>
    </w:lvlOverride>
    <w:lvlOverride w:ilvl="1">
      <w:lvl w:ilvl="1" w:tentative="1">
        <w:start w:val="1"/>
        <w:numFmt w:val="decimal"/>
        <w:suff w:val="space"/>
        <w:lvlText w:val="%1.%2"/>
        <w:lvlJc w:val="left"/>
        <w:pPr>
          <w:ind w:left="653" w:hanging="113"/>
        </w:pPr>
        <w:rPr>
          <w:rFonts w:hint="default" w:ascii="Times New Roman" w:hAnsi="Times New Roman" w:cs="Times New Roman"/>
          <w:b w:val="0"/>
        </w:rPr>
      </w:lvl>
    </w:lvlOverride>
    <w:lvlOverride w:ilvl="2">
      <w:lvl w:ilvl="2" w:tentative="1">
        <w:start w:val="1"/>
        <w:numFmt w:val="lowerLetter"/>
        <w:pStyle w:val="275"/>
        <w:suff w:val="space"/>
        <w:lvlText w:val="(%3) "/>
        <w:lvlJc w:val="left"/>
        <w:pPr>
          <w:ind w:left="679" w:hanging="225"/>
        </w:pPr>
        <w:rPr>
          <w:rFonts w:hint="eastAsia"/>
        </w:rPr>
      </w:lvl>
    </w:lvlOverride>
    <w:lvlOverride w:ilvl="3">
      <w:lvl w:ilvl="3" w:tentative="1">
        <w:start w:val="1"/>
        <w:numFmt w:val="decimal"/>
        <w:pStyle w:val="276"/>
        <w:suff w:val="space"/>
        <w:lvlText w:val="(%4) "/>
        <w:lvlJc w:val="left"/>
        <w:pPr>
          <w:ind w:left="765" w:hanging="397"/>
        </w:pPr>
        <w:rPr>
          <w:rFonts w:hint="eastAsia" w:ascii="Times New Roman" w:hAnsi="Times New Roman" w:cs="Times New Roman"/>
          <w:b w:val="0"/>
          <w:bCs w:val="0"/>
          <w:i w:val="0"/>
          <w:iCs w:val="0"/>
          <w:caps w:val="0"/>
          <w:smallCaps w:val="0"/>
          <w:strike w:val="0"/>
          <w:dstrike w:val="0"/>
          <w:outline w:val="0"/>
          <w:shadow w:val="0"/>
          <w:emboss w:val="0"/>
          <w:imprint w:val="0"/>
          <w:vanish w:val="0"/>
          <w:spacing w:val="0"/>
          <w:position w:val="0"/>
          <w:u w:val="none"/>
          <w:vertAlign w:val="baseline"/>
        </w:rPr>
      </w:lvl>
    </w:lvlOverride>
    <w:lvlOverride w:ilvl="4">
      <w:lvl w:ilvl="4" w:tentative="1">
        <w:start w:val="1"/>
        <w:numFmt w:val="decimal"/>
        <w:lvlText w:val="%1.%2.%3.%4.%5"/>
        <w:lvlJc w:val="left"/>
        <w:pPr>
          <w:tabs>
            <w:tab w:val="left" w:pos="2609"/>
          </w:tabs>
          <w:ind w:left="2379" w:hanging="850"/>
        </w:pPr>
        <w:rPr>
          <w:rFonts w:hint="eastAsia"/>
        </w:rPr>
      </w:lvl>
    </w:lvlOverride>
    <w:lvlOverride w:ilvl="5">
      <w:lvl w:ilvl="5" w:tentative="1">
        <w:start w:val="1"/>
        <w:numFmt w:val="decimal"/>
        <w:lvlText w:val="%1.%2.%3.%4.%5.%6"/>
        <w:lvlJc w:val="left"/>
        <w:pPr>
          <w:tabs>
            <w:tab w:val="left" w:pos="3394"/>
          </w:tabs>
          <w:ind w:left="3088" w:hanging="1134"/>
        </w:pPr>
        <w:rPr>
          <w:rFonts w:hint="eastAsia"/>
        </w:rPr>
      </w:lvl>
    </w:lvlOverride>
    <w:lvlOverride w:ilvl="6">
      <w:lvl w:ilvl="6" w:tentative="1">
        <w:start w:val="1"/>
        <w:numFmt w:val="decimal"/>
        <w:lvlText w:val="%1.%2.%3.%4.%5.%6.%7"/>
        <w:lvlJc w:val="left"/>
        <w:pPr>
          <w:tabs>
            <w:tab w:val="left" w:pos="4179"/>
          </w:tabs>
          <w:ind w:left="3655" w:hanging="1276"/>
        </w:pPr>
        <w:rPr>
          <w:rFonts w:hint="eastAsia"/>
        </w:rPr>
      </w:lvl>
    </w:lvlOverride>
    <w:lvlOverride w:ilvl="7">
      <w:lvl w:ilvl="7" w:tentative="1">
        <w:start w:val="1"/>
        <w:numFmt w:val="decimal"/>
        <w:lvlText w:val="%1.%2.%3.%4.%5.%6.%7.%8"/>
        <w:lvlJc w:val="left"/>
        <w:pPr>
          <w:tabs>
            <w:tab w:val="left" w:pos="4604"/>
          </w:tabs>
          <w:ind w:left="4222" w:hanging="1418"/>
        </w:pPr>
        <w:rPr>
          <w:rFonts w:hint="eastAsia"/>
        </w:rPr>
      </w:lvl>
    </w:lvlOverride>
    <w:lvlOverride w:ilvl="8">
      <w:lvl w:ilvl="8" w:tentative="1">
        <w:start w:val="1"/>
        <w:numFmt w:val="decimal"/>
        <w:lvlText w:val="%1.%2.%3.%4.%5.%6.%7.%8.%9"/>
        <w:lvlJc w:val="left"/>
        <w:pPr>
          <w:tabs>
            <w:tab w:val="left" w:pos="5390"/>
          </w:tabs>
          <w:ind w:left="4930" w:hanging="1700"/>
        </w:pPr>
        <w:rPr>
          <w:rFonts w:hint="eastAsia"/>
        </w:rPr>
      </w:lvl>
    </w:lvlOverride>
  </w:num>
  <w:num w:numId="8">
    <w:abstractNumId w:val="14"/>
  </w:num>
  <w:num w:numId="9">
    <w:abstractNumId w:val="6"/>
  </w:num>
  <w:num w:numId="10">
    <w:abstractNumId w:val="0"/>
  </w:num>
  <w:num w:numId="11">
    <w:abstractNumId w:val="12"/>
  </w:num>
  <w:num w:numId="12">
    <w:abstractNumId w:val="17"/>
  </w:num>
  <w:num w:numId="13">
    <w:abstractNumId w:val="19"/>
  </w:num>
  <w:num w:numId="14">
    <w:abstractNumId w:val="1"/>
  </w:num>
  <w:num w:numId="15">
    <w:abstractNumId w:val="15"/>
  </w:num>
  <w:num w:numId="16">
    <w:abstractNumId w:val="13"/>
  </w:num>
  <w:num w:numId="17">
    <w:abstractNumId w:val="2"/>
  </w:num>
  <w:num w:numId="18">
    <w:abstractNumId w:val="9"/>
  </w:num>
  <w:num w:numId="19">
    <w:abstractNumId w:val="16"/>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HorizontalSpacing w:val="105"/>
  <w:drawingGridVerticalSpacing w:val="23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mE0MzFkMDczNDIwMmJlMWY3NmZmMWQ2NTU4YTg4YzUifQ=="/>
  </w:docVars>
  <w:rsids>
    <w:rsidRoot w:val="00AB03A9"/>
    <w:rsid w:val="00000B25"/>
    <w:rsid w:val="00000E23"/>
    <w:rsid w:val="000064A4"/>
    <w:rsid w:val="000074E5"/>
    <w:rsid w:val="00012241"/>
    <w:rsid w:val="00013EFF"/>
    <w:rsid w:val="00015546"/>
    <w:rsid w:val="00015B2E"/>
    <w:rsid w:val="00020FE6"/>
    <w:rsid w:val="000248A1"/>
    <w:rsid w:val="00025068"/>
    <w:rsid w:val="000264C4"/>
    <w:rsid w:val="00027244"/>
    <w:rsid w:val="000276E0"/>
    <w:rsid w:val="00030B9B"/>
    <w:rsid w:val="00030D41"/>
    <w:rsid w:val="0003110B"/>
    <w:rsid w:val="000342A7"/>
    <w:rsid w:val="00034CA1"/>
    <w:rsid w:val="000354D9"/>
    <w:rsid w:val="0003589D"/>
    <w:rsid w:val="00037847"/>
    <w:rsid w:val="0004112E"/>
    <w:rsid w:val="0004166E"/>
    <w:rsid w:val="000416AB"/>
    <w:rsid w:val="0004268A"/>
    <w:rsid w:val="00045F8E"/>
    <w:rsid w:val="00046C17"/>
    <w:rsid w:val="000473A7"/>
    <w:rsid w:val="00050BC6"/>
    <w:rsid w:val="00050E32"/>
    <w:rsid w:val="0005278B"/>
    <w:rsid w:val="00052BF7"/>
    <w:rsid w:val="00052C12"/>
    <w:rsid w:val="00053C48"/>
    <w:rsid w:val="00053DDF"/>
    <w:rsid w:val="00054FAF"/>
    <w:rsid w:val="0005721D"/>
    <w:rsid w:val="000606D8"/>
    <w:rsid w:val="00061857"/>
    <w:rsid w:val="00061DE1"/>
    <w:rsid w:val="00062675"/>
    <w:rsid w:val="00062B0F"/>
    <w:rsid w:val="00063760"/>
    <w:rsid w:val="0006535A"/>
    <w:rsid w:val="000673E7"/>
    <w:rsid w:val="00074795"/>
    <w:rsid w:val="00075998"/>
    <w:rsid w:val="00076E14"/>
    <w:rsid w:val="00077DD4"/>
    <w:rsid w:val="000803A4"/>
    <w:rsid w:val="000804CC"/>
    <w:rsid w:val="0008068B"/>
    <w:rsid w:val="00080E08"/>
    <w:rsid w:val="000820B7"/>
    <w:rsid w:val="00082761"/>
    <w:rsid w:val="0008490D"/>
    <w:rsid w:val="00084FB7"/>
    <w:rsid w:val="00085565"/>
    <w:rsid w:val="0008568C"/>
    <w:rsid w:val="00087577"/>
    <w:rsid w:val="00087A6A"/>
    <w:rsid w:val="000910B2"/>
    <w:rsid w:val="0009134C"/>
    <w:rsid w:val="000928A0"/>
    <w:rsid w:val="00094145"/>
    <w:rsid w:val="0009470F"/>
    <w:rsid w:val="00094A5D"/>
    <w:rsid w:val="00094E6B"/>
    <w:rsid w:val="00095A58"/>
    <w:rsid w:val="000960AE"/>
    <w:rsid w:val="00096F65"/>
    <w:rsid w:val="000A16AE"/>
    <w:rsid w:val="000A22D1"/>
    <w:rsid w:val="000A2391"/>
    <w:rsid w:val="000A2A96"/>
    <w:rsid w:val="000A3EFF"/>
    <w:rsid w:val="000A6EEA"/>
    <w:rsid w:val="000A7222"/>
    <w:rsid w:val="000A74F4"/>
    <w:rsid w:val="000B1DCA"/>
    <w:rsid w:val="000B44D3"/>
    <w:rsid w:val="000B4857"/>
    <w:rsid w:val="000B4F5F"/>
    <w:rsid w:val="000B6511"/>
    <w:rsid w:val="000B7456"/>
    <w:rsid w:val="000C21C0"/>
    <w:rsid w:val="000C26E8"/>
    <w:rsid w:val="000C3DD2"/>
    <w:rsid w:val="000C3EFE"/>
    <w:rsid w:val="000C5BCF"/>
    <w:rsid w:val="000C630B"/>
    <w:rsid w:val="000C7A68"/>
    <w:rsid w:val="000D0755"/>
    <w:rsid w:val="000D28B4"/>
    <w:rsid w:val="000D296B"/>
    <w:rsid w:val="000D4601"/>
    <w:rsid w:val="000D4EA8"/>
    <w:rsid w:val="000D55AE"/>
    <w:rsid w:val="000D66D9"/>
    <w:rsid w:val="000D6AE3"/>
    <w:rsid w:val="000D7969"/>
    <w:rsid w:val="000E40E2"/>
    <w:rsid w:val="000E4EE4"/>
    <w:rsid w:val="000E5C02"/>
    <w:rsid w:val="000E69F7"/>
    <w:rsid w:val="000E6E75"/>
    <w:rsid w:val="000E7651"/>
    <w:rsid w:val="000F1AE4"/>
    <w:rsid w:val="000F2AA5"/>
    <w:rsid w:val="000F2B56"/>
    <w:rsid w:val="000F3789"/>
    <w:rsid w:val="000F5594"/>
    <w:rsid w:val="000F693F"/>
    <w:rsid w:val="001001A7"/>
    <w:rsid w:val="001028E7"/>
    <w:rsid w:val="00102F7B"/>
    <w:rsid w:val="00103732"/>
    <w:rsid w:val="0010431D"/>
    <w:rsid w:val="00105321"/>
    <w:rsid w:val="00105DF9"/>
    <w:rsid w:val="0010623F"/>
    <w:rsid w:val="00107BC5"/>
    <w:rsid w:val="00111F24"/>
    <w:rsid w:val="00113944"/>
    <w:rsid w:val="00114949"/>
    <w:rsid w:val="00114AB7"/>
    <w:rsid w:val="00114B80"/>
    <w:rsid w:val="00121252"/>
    <w:rsid w:val="00121809"/>
    <w:rsid w:val="00121E5C"/>
    <w:rsid w:val="00126245"/>
    <w:rsid w:val="00130599"/>
    <w:rsid w:val="001307C5"/>
    <w:rsid w:val="00131726"/>
    <w:rsid w:val="00131A90"/>
    <w:rsid w:val="00132D2B"/>
    <w:rsid w:val="001348C9"/>
    <w:rsid w:val="00137E98"/>
    <w:rsid w:val="00142E83"/>
    <w:rsid w:val="00144CC3"/>
    <w:rsid w:val="001460BD"/>
    <w:rsid w:val="001478FF"/>
    <w:rsid w:val="00150FB1"/>
    <w:rsid w:val="00151145"/>
    <w:rsid w:val="00152234"/>
    <w:rsid w:val="001528BA"/>
    <w:rsid w:val="00154F4A"/>
    <w:rsid w:val="00155E25"/>
    <w:rsid w:val="00156591"/>
    <w:rsid w:val="00160CCD"/>
    <w:rsid w:val="00162490"/>
    <w:rsid w:val="00164FE4"/>
    <w:rsid w:val="00176C95"/>
    <w:rsid w:val="00177342"/>
    <w:rsid w:val="001805BA"/>
    <w:rsid w:val="001825C2"/>
    <w:rsid w:val="00183CD6"/>
    <w:rsid w:val="00184075"/>
    <w:rsid w:val="001854CB"/>
    <w:rsid w:val="00186B12"/>
    <w:rsid w:val="00195A85"/>
    <w:rsid w:val="001969D8"/>
    <w:rsid w:val="00196C39"/>
    <w:rsid w:val="001A1B42"/>
    <w:rsid w:val="001A4C53"/>
    <w:rsid w:val="001A63A1"/>
    <w:rsid w:val="001B0CD8"/>
    <w:rsid w:val="001B18D2"/>
    <w:rsid w:val="001B3C27"/>
    <w:rsid w:val="001B5E77"/>
    <w:rsid w:val="001B7C8E"/>
    <w:rsid w:val="001C09A2"/>
    <w:rsid w:val="001C526E"/>
    <w:rsid w:val="001C5399"/>
    <w:rsid w:val="001C611C"/>
    <w:rsid w:val="001C6180"/>
    <w:rsid w:val="001C7BC1"/>
    <w:rsid w:val="001D05D5"/>
    <w:rsid w:val="001D0C57"/>
    <w:rsid w:val="001D0FE9"/>
    <w:rsid w:val="001D1393"/>
    <w:rsid w:val="001D29B6"/>
    <w:rsid w:val="001D3E1D"/>
    <w:rsid w:val="001D41BF"/>
    <w:rsid w:val="001D51EE"/>
    <w:rsid w:val="001D6254"/>
    <w:rsid w:val="001D7718"/>
    <w:rsid w:val="001D7C12"/>
    <w:rsid w:val="001E0D72"/>
    <w:rsid w:val="001E1628"/>
    <w:rsid w:val="001E36B2"/>
    <w:rsid w:val="001E39AA"/>
    <w:rsid w:val="001E3DD9"/>
    <w:rsid w:val="001E4D68"/>
    <w:rsid w:val="001E57E1"/>
    <w:rsid w:val="001E6897"/>
    <w:rsid w:val="001E7C28"/>
    <w:rsid w:val="001F080E"/>
    <w:rsid w:val="001F0C2A"/>
    <w:rsid w:val="001F0D69"/>
    <w:rsid w:val="001F1AB3"/>
    <w:rsid w:val="001F1DD5"/>
    <w:rsid w:val="001F234C"/>
    <w:rsid w:val="001F2B4A"/>
    <w:rsid w:val="001F3563"/>
    <w:rsid w:val="001F4863"/>
    <w:rsid w:val="001F5733"/>
    <w:rsid w:val="001F5E0D"/>
    <w:rsid w:val="001F60AA"/>
    <w:rsid w:val="001F621D"/>
    <w:rsid w:val="00200425"/>
    <w:rsid w:val="00200727"/>
    <w:rsid w:val="00200BAB"/>
    <w:rsid w:val="002026D1"/>
    <w:rsid w:val="0020319B"/>
    <w:rsid w:val="00203823"/>
    <w:rsid w:val="002048DD"/>
    <w:rsid w:val="00205289"/>
    <w:rsid w:val="00207A4F"/>
    <w:rsid w:val="00207C6B"/>
    <w:rsid w:val="00211AA1"/>
    <w:rsid w:val="0021377F"/>
    <w:rsid w:val="00213F54"/>
    <w:rsid w:val="002154FD"/>
    <w:rsid w:val="002206DE"/>
    <w:rsid w:val="00220E9D"/>
    <w:rsid w:val="00222A52"/>
    <w:rsid w:val="00226CF8"/>
    <w:rsid w:val="002365C4"/>
    <w:rsid w:val="00237914"/>
    <w:rsid w:val="002379F0"/>
    <w:rsid w:val="0024127D"/>
    <w:rsid w:val="002425FE"/>
    <w:rsid w:val="00243628"/>
    <w:rsid w:val="00244A22"/>
    <w:rsid w:val="00244BD0"/>
    <w:rsid w:val="0025078C"/>
    <w:rsid w:val="0025082F"/>
    <w:rsid w:val="00251340"/>
    <w:rsid w:val="00251B6D"/>
    <w:rsid w:val="00252CC2"/>
    <w:rsid w:val="00253549"/>
    <w:rsid w:val="0025455B"/>
    <w:rsid w:val="002556F8"/>
    <w:rsid w:val="00255732"/>
    <w:rsid w:val="00256261"/>
    <w:rsid w:val="002573AB"/>
    <w:rsid w:val="002603F1"/>
    <w:rsid w:val="00260988"/>
    <w:rsid w:val="00263374"/>
    <w:rsid w:val="002636D1"/>
    <w:rsid w:val="002642C1"/>
    <w:rsid w:val="002656D8"/>
    <w:rsid w:val="00265D02"/>
    <w:rsid w:val="00266CAE"/>
    <w:rsid w:val="00267C37"/>
    <w:rsid w:val="00270CAE"/>
    <w:rsid w:val="002718B2"/>
    <w:rsid w:val="00274246"/>
    <w:rsid w:val="00275DC1"/>
    <w:rsid w:val="00276156"/>
    <w:rsid w:val="00277CB9"/>
    <w:rsid w:val="00280105"/>
    <w:rsid w:val="00280888"/>
    <w:rsid w:val="00281399"/>
    <w:rsid w:val="0028193A"/>
    <w:rsid w:val="00281C6E"/>
    <w:rsid w:val="0029012A"/>
    <w:rsid w:val="00291BD8"/>
    <w:rsid w:val="002921F2"/>
    <w:rsid w:val="00292A30"/>
    <w:rsid w:val="002944C3"/>
    <w:rsid w:val="00294879"/>
    <w:rsid w:val="00294E73"/>
    <w:rsid w:val="00295B1D"/>
    <w:rsid w:val="002960C8"/>
    <w:rsid w:val="002962C6"/>
    <w:rsid w:val="002966C2"/>
    <w:rsid w:val="00296D75"/>
    <w:rsid w:val="00296DE9"/>
    <w:rsid w:val="00297ED8"/>
    <w:rsid w:val="002A0486"/>
    <w:rsid w:val="002A0691"/>
    <w:rsid w:val="002A4BCC"/>
    <w:rsid w:val="002A5D2A"/>
    <w:rsid w:val="002A5DDF"/>
    <w:rsid w:val="002A7C70"/>
    <w:rsid w:val="002B347D"/>
    <w:rsid w:val="002B3B8B"/>
    <w:rsid w:val="002B3EE9"/>
    <w:rsid w:val="002B4915"/>
    <w:rsid w:val="002B5297"/>
    <w:rsid w:val="002B5EBD"/>
    <w:rsid w:val="002B6DF4"/>
    <w:rsid w:val="002C0CD4"/>
    <w:rsid w:val="002C14B7"/>
    <w:rsid w:val="002C21B1"/>
    <w:rsid w:val="002C2E06"/>
    <w:rsid w:val="002C6056"/>
    <w:rsid w:val="002C6A45"/>
    <w:rsid w:val="002C7318"/>
    <w:rsid w:val="002C7E6C"/>
    <w:rsid w:val="002D000D"/>
    <w:rsid w:val="002D161B"/>
    <w:rsid w:val="002D3A02"/>
    <w:rsid w:val="002D4C07"/>
    <w:rsid w:val="002D4E70"/>
    <w:rsid w:val="002D5778"/>
    <w:rsid w:val="002D6614"/>
    <w:rsid w:val="002D6A87"/>
    <w:rsid w:val="002E0689"/>
    <w:rsid w:val="002E21F0"/>
    <w:rsid w:val="002E24D4"/>
    <w:rsid w:val="002E291B"/>
    <w:rsid w:val="002E48F1"/>
    <w:rsid w:val="002E5672"/>
    <w:rsid w:val="002E600C"/>
    <w:rsid w:val="002E656D"/>
    <w:rsid w:val="002F120C"/>
    <w:rsid w:val="002F32CA"/>
    <w:rsid w:val="002F4243"/>
    <w:rsid w:val="002F45BA"/>
    <w:rsid w:val="002F57E3"/>
    <w:rsid w:val="002F6191"/>
    <w:rsid w:val="0030253F"/>
    <w:rsid w:val="003039E0"/>
    <w:rsid w:val="00303BD6"/>
    <w:rsid w:val="00303F32"/>
    <w:rsid w:val="0030456C"/>
    <w:rsid w:val="00304A6B"/>
    <w:rsid w:val="00310586"/>
    <w:rsid w:val="00310D1D"/>
    <w:rsid w:val="003114AE"/>
    <w:rsid w:val="00312E36"/>
    <w:rsid w:val="00313164"/>
    <w:rsid w:val="00314185"/>
    <w:rsid w:val="00316F19"/>
    <w:rsid w:val="00322B7B"/>
    <w:rsid w:val="00323B61"/>
    <w:rsid w:val="00323D59"/>
    <w:rsid w:val="00324C41"/>
    <w:rsid w:val="00325718"/>
    <w:rsid w:val="00326D4D"/>
    <w:rsid w:val="00327A01"/>
    <w:rsid w:val="00332566"/>
    <w:rsid w:val="003329A6"/>
    <w:rsid w:val="00334E75"/>
    <w:rsid w:val="003360A2"/>
    <w:rsid w:val="003365BB"/>
    <w:rsid w:val="0033688E"/>
    <w:rsid w:val="0034243D"/>
    <w:rsid w:val="003433F3"/>
    <w:rsid w:val="003436D6"/>
    <w:rsid w:val="003443C6"/>
    <w:rsid w:val="003444A4"/>
    <w:rsid w:val="0034494C"/>
    <w:rsid w:val="00346758"/>
    <w:rsid w:val="003472F4"/>
    <w:rsid w:val="0035111A"/>
    <w:rsid w:val="00351EC2"/>
    <w:rsid w:val="00352D0B"/>
    <w:rsid w:val="00357699"/>
    <w:rsid w:val="00361895"/>
    <w:rsid w:val="0036272B"/>
    <w:rsid w:val="00362FD7"/>
    <w:rsid w:val="0036637F"/>
    <w:rsid w:val="0036687A"/>
    <w:rsid w:val="00366C87"/>
    <w:rsid w:val="00367269"/>
    <w:rsid w:val="00367AF2"/>
    <w:rsid w:val="00367B3C"/>
    <w:rsid w:val="003737A7"/>
    <w:rsid w:val="00373E92"/>
    <w:rsid w:val="00374CEF"/>
    <w:rsid w:val="00375144"/>
    <w:rsid w:val="003762CA"/>
    <w:rsid w:val="00382086"/>
    <w:rsid w:val="003831AD"/>
    <w:rsid w:val="00383F98"/>
    <w:rsid w:val="00386030"/>
    <w:rsid w:val="003864E8"/>
    <w:rsid w:val="00387678"/>
    <w:rsid w:val="00393352"/>
    <w:rsid w:val="00393D56"/>
    <w:rsid w:val="00393D63"/>
    <w:rsid w:val="003942D9"/>
    <w:rsid w:val="003944F6"/>
    <w:rsid w:val="00395F00"/>
    <w:rsid w:val="00395F74"/>
    <w:rsid w:val="00397F4C"/>
    <w:rsid w:val="003A0786"/>
    <w:rsid w:val="003A1CFD"/>
    <w:rsid w:val="003A20D6"/>
    <w:rsid w:val="003A2EB7"/>
    <w:rsid w:val="003A4D0F"/>
    <w:rsid w:val="003A6157"/>
    <w:rsid w:val="003A65A5"/>
    <w:rsid w:val="003A6962"/>
    <w:rsid w:val="003B1057"/>
    <w:rsid w:val="003B18A1"/>
    <w:rsid w:val="003B1ACD"/>
    <w:rsid w:val="003B1CCB"/>
    <w:rsid w:val="003B1E66"/>
    <w:rsid w:val="003B219B"/>
    <w:rsid w:val="003B3C27"/>
    <w:rsid w:val="003B44C9"/>
    <w:rsid w:val="003B5FDB"/>
    <w:rsid w:val="003B63AD"/>
    <w:rsid w:val="003B6E13"/>
    <w:rsid w:val="003B7261"/>
    <w:rsid w:val="003B7390"/>
    <w:rsid w:val="003C1620"/>
    <w:rsid w:val="003C1626"/>
    <w:rsid w:val="003C269F"/>
    <w:rsid w:val="003C30F0"/>
    <w:rsid w:val="003C45B9"/>
    <w:rsid w:val="003C4A07"/>
    <w:rsid w:val="003C4D20"/>
    <w:rsid w:val="003C51F5"/>
    <w:rsid w:val="003C5219"/>
    <w:rsid w:val="003C61B0"/>
    <w:rsid w:val="003D0761"/>
    <w:rsid w:val="003D269A"/>
    <w:rsid w:val="003D3A4D"/>
    <w:rsid w:val="003D5ECD"/>
    <w:rsid w:val="003D63E1"/>
    <w:rsid w:val="003D684A"/>
    <w:rsid w:val="003D6BEA"/>
    <w:rsid w:val="003E01A8"/>
    <w:rsid w:val="003E0F82"/>
    <w:rsid w:val="003E4BB4"/>
    <w:rsid w:val="003E6D96"/>
    <w:rsid w:val="003E7A33"/>
    <w:rsid w:val="003E7F1D"/>
    <w:rsid w:val="003F08A6"/>
    <w:rsid w:val="003F1338"/>
    <w:rsid w:val="003F25A0"/>
    <w:rsid w:val="003F4241"/>
    <w:rsid w:val="003F47ED"/>
    <w:rsid w:val="003F4AAB"/>
    <w:rsid w:val="003F4B19"/>
    <w:rsid w:val="003F5D54"/>
    <w:rsid w:val="00400BB4"/>
    <w:rsid w:val="0040231D"/>
    <w:rsid w:val="004029B1"/>
    <w:rsid w:val="00407855"/>
    <w:rsid w:val="00413903"/>
    <w:rsid w:val="004141D3"/>
    <w:rsid w:val="00416F3D"/>
    <w:rsid w:val="004204D0"/>
    <w:rsid w:val="00422E95"/>
    <w:rsid w:val="004231D1"/>
    <w:rsid w:val="004240AD"/>
    <w:rsid w:val="00426388"/>
    <w:rsid w:val="0043249F"/>
    <w:rsid w:val="00432841"/>
    <w:rsid w:val="0043443D"/>
    <w:rsid w:val="00434FA9"/>
    <w:rsid w:val="00435566"/>
    <w:rsid w:val="00435DC6"/>
    <w:rsid w:val="004364E3"/>
    <w:rsid w:val="00436599"/>
    <w:rsid w:val="00436E36"/>
    <w:rsid w:val="0044049F"/>
    <w:rsid w:val="004415AD"/>
    <w:rsid w:val="004468C8"/>
    <w:rsid w:val="004470E7"/>
    <w:rsid w:val="00447A0D"/>
    <w:rsid w:val="00451758"/>
    <w:rsid w:val="00451C92"/>
    <w:rsid w:val="004542E1"/>
    <w:rsid w:val="00455926"/>
    <w:rsid w:val="00455F7C"/>
    <w:rsid w:val="004600BC"/>
    <w:rsid w:val="004627FE"/>
    <w:rsid w:val="00463894"/>
    <w:rsid w:val="00465ECC"/>
    <w:rsid w:val="00466B0C"/>
    <w:rsid w:val="00466EE7"/>
    <w:rsid w:val="00470054"/>
    <w:rsid w:val="00470971"/>
    <w:rsid w:val="00470F97"/>
    <w:rsid w:val="004712E6"/>
    <w:rsid w:val="00471B01"/>
    <w:rsid w:val="004731D8"/>
    <w:rsid w:val="0047347E"/>
    <w:rsid w:val="00474409"/>
    <w:rsid w:val="00474FE2"/>
    <w:rsid w:val="00476BD8"/>
    <w:rsid w:val="0047737D"/>
    <w:rsid w:val="004778BB"/>
    <w:rsid w:val="004779EA"/>
    <w:rsid w:val="00480D05"/>
    <w:rsid w:val="004812C1"/>
    <w:rsid w:val="00481DA7"/>
    <w:rsid w:val="00482BD4"/>
    <w:rsid w:val="00485FD3"/>
    <w:rsid w:val="004865D5"/>
    <w:rsid w:val="00487C73"/>
    <w:rsid w:val="0049070D"/>
    <w:rsid w:val="0049438F"/>
    <w:rsid w:val="0049496B"/>
    <w:rsid w:val="004949C5"/>
    <w:rsid w:val="004959BE"/>
    <w:rsid w:val="00495F67"/>
    <w:rsid w:val="00497917"/>
    <w:rsid w:val="004A0E3C"/>
    <w:rsid w:val="004A2602"/>
    <w:rsid w:val="004A567E"/>
    <w:rsid w:val="004A7C67"/>
    <w:rsid w:val="004B1FF4"/>
    <w:rsid w:val="004B29E9"/>
    <w:rsid w:val="004B386A"/>
    <w:rsid w:val="004B4430"/>
    <w:rsid w:val="004B5194"/>
    <w:rsid w:val="004B637A"/>
    <w:rsid w:val="004B746A"/>
    <w:rsid w:val="004C0594"/>
    <w:rsid w:val="004C0B03"/>
    <w:rsid w:val="004C10E0"/>
    <w:rsid w:val="004C1419"/>
    <w:rsid w:val="004C250A"/>
    <w:rsid w:val="004C3A2E"/>
    <w:rsid w:val="004C3CC9"/>
    <w:rsid w:val="004C549E"/>
    <w:rsid w:val="004C5923"/>
    <w:rsid w:val="004C7A0E"/>
    <w:rsid w:val="004D0FE2"/>
    <w:rsid w:val="004D3787"/>
    <w:rsid w:val="004D46F1"/>
    <w:rsid w:val="004D6D1F"/>
    <w:rsid w:val="004D7C2E"/>
    <w:rsid w:val="004E0E33"/>
    <w:rsid w:val="004E1C54"/>
    <w:rsid w:val="004E205D"/>
    <w:rsid w:val="004E3CC9"/>
    <w:rsid w:val="004E4E8C"/>
    <w:rsid w:val="004E55A7"/>
    <w:rsid w:val="004E64AF"/>
    <w:rsid w:val="004E798E"/>
    <w:rsid w:val="004E7B63"/>
    <w:rsid w:val="004F0C0E"/>
    <w:rsid w:val="004F1A74"/>
    <w:rsid w:val="004F234A"/>
    <w:rsid w:val="004F2665"/>
    <w:rsid w:val="004F7632"/>
    <w:rsid w:val="005012A2"/>
    <w:rsid w:val="00501646"/>
    <w:rsid w:val="00502188"/>
    <w:rsid w:val="0050665C"/>
    <w:rsid w:val="00507CDE"/>
    <w:rsid w:val="0051034C"/>
    <w:rsid w:val="00510FBD"/>
    <w:rsid w:val="00511070"/>
    <w:rsid w:val="0051168A"/>
    <w:rsid w:val="00511E2B"/>
    <w:rsid w:val="00512FA0"/>
    <w:rsid w:val="00513487"/>
    <w:rsid w:val="00514473"/>
    <w:rsid w:val="00516C80"/>
    <w:rsid w:val="005172F5"/>
    <w:rsid w:val="00517F4C"/>
    <w:rsid w:val="00520AE7"/>
    <w:rsid w:val="0052123F"/>
    <w:rsid w:val="0052234F"/>
    <w:rsid w:val="005230EF"/>
    <w:rsid w:val="00525E1F"/>
    <w:rsid w:val="005268CF"/>
    <w:rsid w:val="00527FE7"/>
    <w:rsid w:val="00530019"/>
    <w:rsid w:val="005303D1"/>
    <w:rsid w:val="005305CE"/>
    <w:rsid w:val="00530F03"/>
    <w:rsid w:val="00531AA3"/>
    <w:rsid w:val="00533459"/>
    <w:rsid w:val="00533802"/>
    <w:rsid w:val="00533875"/>
    <w:rsid w:val="005352BC"/>
    <w:rsid w:val="00535E81"/>
    <w:rsid w:val="0053673D"/>
    <w:rsid w:val="005379D2"/>
    <w:rsid w:val="00540A40"/>
    <w:rsid w:val="00541858"/>
    <w:rsid w:val="00541888"/>
    <w:rsid w:val="00542AAF"/>
    <w:rsid w:val="00543544"/>
    <w:rsid w:val="00543D8B"/>
    <w:rsid w:val="005452EA"/>
    <w:rsid w:val="00545438"/>
    <w:rsid w:val="00546183"/>
    <w:rsid w:val="00550434"/>
    <w:rsid w:val="00550BF9"/>
    <w:rsid w:val="00551E12"/>
    <w:rsid w:val="0055355A"/>
    <w:rsid w:val="00553E82"/>
    <w:rsid w:val="0055505F"/>
    <w:rsid w:val="005565C2"/>
    <w:rsid w:val="00557FA4"/>
    <w:rsid w:val="005617D4"/>
    <w:rsid w:val="00562A14"/>
    <w:rsid w:val="00563094"/>
    <w:rsid w:val="0056375B"/>
    <w:rsid w:val="00564EF9"/>
    <w:rsid w:val="0056521C"/>
    <w:rsid w:val="00565936"/>
    <w:rsid w:val="0056674E"/>
    <w:rsid w:val="00566A83"/>
    <w:rsid w:val="005670DF"/>
    <w:rsid w:val="0057176A"/>
    <w:rsid w:val="005724A6"/>
    <w:rsid w:val="00573983"/>
    <w:rsid w:val="00574E09"/>
    <w:rsid w:val="005752F4"/>
    <w:rsid w:val="00577996"/>
    <w:rsid w:val="00580201"/>
    <w:rsid w:val="00582C67"/>
    <w:rsid w:val="00583E45"/>
    <w:rsid w:val="005851E5"/>
    <w:rsid w:val="00586C04"/>
    <w:rsid w:val="00591B47"/>
    <w:rsid w:val="00591E3F"/>
    <w:rsid w:val="005927BF"/>
    <w:rsid w:val="00595069"/>
    <w:rsid w:val="0059634C"/>
    <w:rsid w:val="005A193D"/>
    <w:rsid w:val="005A1CAA"/>
    <w:rsid w:val="005A265F"/>
    <w:rsid w:val="005A3123"/>
    <w:rsid w:val="005A40DB"/>
    <w:rsid w:val="005A55F2"/>
    <w:rsid w:val="005A6FE8"/>
    <w:rsid w:val="005A7988"/>
    <w:rsid w:val="005B1002"/>
    <w:rsid w:val="005B1BF9"/>
    <w:rsid w:val="005B372D"/>
    <w:rsid w:val="005B5D60"/>
    <w:rsid w:val="005B670E"/>
    <w:rsid w:val="005B773F"/>
    <w:rsid w:val="005B77FD"/>
    <w:rsid w:val="005C0383"/>
    <w:rsid w:val="005C112C"/>
    <w:rsid w:val="005C29B7"/>
    <w:rsid w:val="005C3C7C"/>
    <w:rsid w:val="005C6784"/>
    <w:rsid w:val="005D17B3"/>
    <w:rsid w:val="005D19FB"/>
    <w:rsid w:val="005D388F"/>
    <w:rsid w:val="005D446C"/>
    <w:rsid w:val="005D59F5"/>
    <w:rsid w:val="005E0173"/>
    <w:rsid w:val="005E0F00"/>
    <w:rsid w:val="005E1509"/>
    <w:rsid w:val="005E170C"/>
    <w:rsid w:val="005E2D29"/>
    <w:rsid w:val="005E30F2"/>
    <w:rsid w:val="005E3490"/>
    <w:rsid w:val="005E41CC"/>
    <w:rsid w:val="005E5286"/>
    <w:rsid w:val="005E5DB3"/>
    <w:rsid w:val="005F0AB2"/>
    <w:rsid w:val="005F335B"/>
    <w:rsid w:val="005F50E8"/>
    <w:rsid w:val="005F5555"/>
    <w:rsid w:val="005F6907"/>
    <w:rsid w:val="005F7440"/>
    <w:rsid w:val="005F75AD"/>
    <w:rsid w:val="005F7951"/>
    <w:rsid w:val="00601313"/>
    <w:rsid w:val="00601A1F"/>
    <w:rsid w:val="0060251D"/>
    <w:rsid w:val="00603695"/>
    <w:rsid w:val="00604A20"/>
    <w:rsid w:val="00605BF0"/>
    <w:rsid w:val="0060609A"/>
    <w:rsid w:val="00606729"/>
    <w:rsid w:val="00606804"/>
    <w:rsid w:val="00606E95"/>
    <w:rsid w:val="00610B27"/>
    <w:rsid w:val="00610FCF"/>
    <w:rsid w:val="006114C2"/>
    <w:rsid w:val="00612019"/>
    <w:rsid w:val="00613959"/>
    <w:rsid w:val="00615E99"/>
    <w:rsid w:val="00617F0D"/>
    <w:rsid w:val="0062084E"/>
    <w:rsid w:val="00620ACB"/>
    <w:rsid w:val="00622CDC"/>
    <w:rsid w:val="006252F7"/>
    <w:rsid w:val="00627803"/>
    <w:rsid w:val="00627FA3"/>
    <w:rsid w:val="00630CAF"/>
    <w:rsid w:val="00630FF5"/>
    <w:rsid w:val="0063380F"/>
    <w:rsid w:val="00634CFF"/>
    <w:rsid w:val="00634F76"/>
    <w:rsid w:val="00635CCC"/>
    <w:rsid w:val="00636679"/>
    <w:rsid w:val="00642692"/>
    <w:rsid w:val="00644DF0"/>
    <w:rsid w:val="006450B9"/>
    <w:rsid w:val="0065000C"/>
    <w:rsid w:val="0065113A"/>
    <w:rsid w:val="00652EEC"/>
    <w:rsid w:val="00653618"/>
    <w:rsid w:val="00655387"/>
    <w:rsid w:val="00656322"/>
    <w:rsid w:val="0066013E"/>
    <w:rsid w:val="0066098F"/>
    <w:rsid w:val="00663140"/>
    <w:rsid w:val="00665233"/>
    <w:rsid w:val="00665A45"/>
    <w:rsid w:val="006674E4"/>
    <w:rsid w:val="00670751"/>
    <w:rsid w:val="00672A6E"/>
    <w:rsid w:val="00673E9E"/>
    <w:rsid w:val="00677278"/>
    <w:rsid w:val="006806B9"/>
    <w:rsid w:val="00682A81"/>
    <w:rsid w:val="00690B18"/>
    <w:rsid w:val="006923D3"/>
    <w:rsid w:val="006938FE"/>
    <w:rsid w:val="0069519E"/>
    <w:rsid w:val="00695D99"/>
    <w:rsid w:val="006965FD"/>
    <w:rsid w:val="006975CE"/>
    <w:rsid w:val="006A1CCA"/>
    <w:rsid w:val="006A376A"/>
    <w:rsid w:val="006A3F59"/>
    <w:rsid w:val="006A4D07"/>
    <w:rsid w:val="006A6293"/>
    <w:rsid w:val="006A6F05"/>
    <w:rsid w:val="006A75FE"/>
    <w:rsid w:val="006B0840"/>
    <w:rsid w:val="006B0C3E"/>
    <w:rsid w:val="006B3795"/>
    <w:rsid w:val="006B5C4A"/>
    <w:rsid w:val="006B6A7E"/>
    <w:rsid w:val="006B728F"/>
    <w:rsid w:val="006C112A"/>
    <w:rsid w:val="006C25AE"/>
    <w:rsid w:val="006C3535"/>
    <w:rsid w:val="006C3E23"/>
    <w:rsid w:val="006C5175"/>
    <w:rsid w:val="006C5223"/>
    <w:rsid w:val="006C6A56"/>
    <w:rsid w:val="006C6B50"/>
    <w:rsid w:val="006C7C96"/>
    <w:rsid w:val="006D01ED"/>
    <w:rsid w:val="006D082E"/>
    <w:rsid w:val="006D11F1"/>
    <w:rsid w:val="006D18F0"/>
    <w:rsid w:val="006D1AE8"/>
    <w:rsid w:val="006D30F4"/>
    <w:rsid w:val="006D7187"/>
    <w:rsid w:val="006E007D"/>
    <w:rsid w:val="006E0708"/>
    <w:rsid w:val="006E1325"/>
    <w:rsid w:val="006E434A"/>
    <w:rsid w:val="006E576B"/>
    <w:rsid w:val="006F0BE2"/>
    <w:rsid w:val="006F1913"/>
    <w:rsid w:val="006F1C98"/>
    <w:rsid w:val="006F1F59"/>
    <w:rsid w:val="006F25C9"/>
    <w:rsid w:val="006F36AA"/>
    <w:rsid w:val="006F3718"/>
    <w:rsid w:val="00700C1D"/>
    <w:rsid w:val="00702A11"/>
    <w:rsid w:val="00703526"/>
    <w:rsid w:val="007036B2"/>
    <w:rsid w:val="007067D7"/>
    <w:rsid w:val="00706A46"/>
    <w:rsid w:val="00707740"/>
    <w:rsid w:val="0071029C"/>
    <w:rsid w:val="00710866"/>
    <w:rsid w:val="00710A4E"/>
    <w:rsid w:val="007120E2"/>
    <w:rsid w:val="00713DBE"/>
    <w:rsid w:val="00715829"/>
    <w:rsid w:val="00715A43"/>
    <w:rsid w:val="00716CAD"/>
    <w:rsid w:val="00720CA1"/>
    <w:rsid w:val="00724154"/>
    <w:rsid w:val="00724943"/>
    <w:rsid w:val="007264D3"/>
    <w:rsid w:val="00726FF0"/>
    <w:rsid w:val="0072750D"/>
    <w:rsid w:val="00733870"/>
    <w:rsid w:val="007341B4"/>
    <w:rsid w:val="0073510D"/>
    <w:rsid w:val="00735CA8"/>
    <w:rsid w:val="00737206"/>
    <w:rsid w:val="007376A3"/>
    <w:rsid w:val="00740923"/>
    <w:rsid w:val="0074134F"/>
    <w:rsid w:val="00742938"/>
    <w:rsid w:val="0074327D"/>
    <w:rsid w:val="00743D74"/>
    <w:rsid w:val="00745E97"/>
    <w:rsid w:val="00746EF4"/>
    <w:rsid w:val="00752DF1"/>
    <w:rsid w:val="00753245"/>
    <w:rsid w:val="00755036"/>
    <w:rsid w:val="007565B4"/>
    <w:rsid w:val="00756735"/>
    <w:rsid w:val="007617CC"/>
    <w:rsid w:val="007622B3"/>
    <w:rsid w:val="0076383B"/>
    <w:rsid w:val="00763D9C"/>
    <w:rsid w:val="00764C1C"/>
    <w:rsid w:val="007650F6"/>
    <w:rsid w:val="00773985"/>
    <w:rsid w:val="007740E9"/>
    <w:rsid w:val="00776419"/>
    <w:rsid w:val="007764AD"/>
    <w:rsid w:val="00776692"/>
    <w:rsid w:val="00776CF7"/>
    <w:rsid w:val="00777833"/>
    <w:rsid w:val="00782D1E"/>
    <w:rsid w:val="00783030"/>
    <w:rsid w:val="007845BE"/>
    <w:rsid w:val="00784D55"/>
    <w:rsid w:val="007857FC"/>
    <w:rsid w:val="00787E9C"/>
    <w:rsid w:val="00790AD6"/>
    <w:rsid w:val="007910C0"/>
    <w:rsid w:val="00795CBD"/>
    <w:rsid w:val="00797C2C"/>
    <w:rsid w:val="00797E2D"/>
    <w:rsid w:val="007A1334"/>
    <w:rsid w:val="007A18F7"/>
    <w:rsid w:val="007A1918"/>
    <w:rsid w:val="007A2AC5"/>
    <w:rsid w:val="007A39CB"/>
    <w:rsid w:val="007A5361"/>
    <w:rsid w:val="007A5C83"/>
    <w:rsid w:val="007A604D"/>
    <w:rsid w:val="007B08AB"/>
    <w:rsid w:val="007B13D2"/>
    <w:rsid w:val="007B4A4D"/>
    <w:rsid w:val="007B5975"/>
    <w:rsid w:val="007B6F37"/>
    <w:rsid w:val="007C0345"/>
    <w:rsid w:val="007C0ECB"/>
    <w:rsid w:val="007C1778"/>
    <w:rsid w:val="007C3C6A"/>
    <w:rsid w:val="007C3EA3"/>
    <w:rsid w:val="007C4949"/>
    <w:rsid w:val="007C6CBF"/>
    <w:rsid w:val="007C707B"/>
    <w:rsid w:val="007C7C2E"/>
    <w:rsid w:val="007D27C8"/>
    <w:rsid w:val="007D2BD7"/>
    <w:rsid w:val="007D50F8"/>
    <w:rsid w:val="007D5B61"/>
    <w:rsid w:val="007D6971"/>
    <w:rsid w:val="007D7B60"/>
    <w:rsid w:val="007E41D2"/>
    <w:rsid w:val="007E4267"/>
    <w:rsid w:val="007E43D7"/>
    <w:rsid w:val="007E455A"/>
    <w:rsid w:val="007E4B46"/>
    <w:rsid w:val="007E4EFE"/>
    <w:rsid w:val="007E51B8"/>
    <w:rsid w:val="007F03C1"/>
    <w:rsid w:val="007F1D8D"/>
    <w:rsid w:val="007F1F80"/>
    <w:rsid w:val="007F2A26"/>
    <w:rsid w:val="007F38A5"/>
    <w:rsid w:val="007F52A5"/>
    <w:rsid w:val="007F7448"/>
    <w:rsid w:val="00803310"/>
    <w:rsid w:val="00806E5A"/>
    <w:rsid w:val="008073E4"/>
    <w:rsid w:val="00807F1F"/>
    <w:rsid w:val="00807F3F"/>
    <w:rsid w:val="00810AB0"/>
    <w:rsid w:val="00810FA3"/>
    <w:rsid w:val="008114A4"/>
    <w:rsid w:val="008117CA"/>
    <w:rsid w:val="00811ED9"/>
    <w:rsid w:val="00812C37"/>
    <w:rsid w:val="00814372"/>
    <w:rsid w:val="00815A99"/>
    <w:rsid w:val="00815B34"/>
    <w:rsid w:val="008173A4"/>
    <w:rsid w:val="00820097"/>
    <w:rsid w:val="00820B8B"/>
    <w:rsid w:val="00822592"/>
    <w:rsid w:val="00822C75"/>
    <w:rsid w:val="00824DD3"/>
    <w:rsid w:val="00825D64"/>
    <w:rsid w:val="00825D94"/>
    <w:rsid w:val="008272DC"/>
    <w:rsid w:val="008278F0"/>
    <w:rsid w:val="00830B82"/>
    <w:rsid w:val="00831106"/>
    <w:rsid w:val="008328CA"/>
    <w:rsid w:val="00834057"/>
    <w:rsid w:val="008348C4"/>
    <w:rsid w:val="00836055"/>
    <w:rsid w:val="008367C3"/>
    <w:rsid w:val="00837271"/>
    <w:rsid w:val="00840267"/>
    <w:rsid w:val="008403D9"/>
    <w:rsid w:val="00841013"/>
    <w:rsid w:val="00841A72"/>
    <w:rsid w:val="00843BA2"/>
    <w:rsid w:val="00846089"/>
    <w:rsid w:val="00846180"/>
    <w:rsid w:val="00847463"/>
    <w:rsid w:val="00847990"/>
    <w:rsid w:val="0085104A"/>
    <w:rsid w:val="00851321"/>
    <w:rsid w:val="00853F2D"/>
    <w:rsid w:val="00854F0D"/>
    <w:rsid w:val="00855B0B"/>
    <w:rsid w:val="00855C40"/>
    <w:rsid w:val="00856CDF"/>
    <w:rsid w:val="008609C0"/>
    <w:rsid w:val="00863E1E"/>
    <w:rsid w:val="00866AEE"/>
    <w:rsid w:val="008700F1"/>
    <w:rsid w:val="008706EB"/>
    <w:rsid w:val="00870BD7"/>
    <w:rsid w:val="00871065"/>
    <w:rsid w:val="0087422C"/>
    <w:rsid w:val="008742A3"/>
    <w:rsid w:val="008744C1"/>
    <w:rsid w:val="008761CA"/>
    <w:rsid w:val="008802A7"/>
    <w:rsid w:val="00880E0D"/>
    <w:rsid w:val="00880E35"/>
    <w:rsid w:val="00880EA1"/>
    <w:rsid w:val="00882310"/>
    <w:rsid w:val="00885980"/>
    <w:rsid w:val="00885E2B"/>
    <w:rsid w:val="0089007D"/>
    <w:rsid w:val="0089172B"/>
    <w:rsid w:val="008922D5"/>
    <w:rsid w:val="0089268D"/>
    <w:rsid w:val="00893B9C"/>
    <w:rsid w:val="00893DD0"/>
    <w:rsid w:val="00895797"/>
    <w:rsid w:val="0089662F"/>
    <w:rsid w:val="008966BF"/>
    <w:rsid w:val="00896E3C"/>
    <w:rsid w:val="0089734A"/>
    <w:rsid w:val="00897705"/>
    <w:rsid w:val="00897706"/>
    <w:rsid w:val="008A02A8"/>
    <w:rsid w:val="008A0561"/>
    <w:rsid w:val="008A119E"/>
    <w:rsid w:val="008A465C"/>
    <w:rsid w:val="008A481A"/>
    <w:rsid w:val="008A4E56"/>
    <w:rsid w:val="008B0201"/>
    <w:rsid w:val="008B0C3E"/>
    <w:rsid w:val="008B141B"/>
    <w:rsid w:val="008B1BD1"/>
    <w:rsid w:val="008B25CF"/>
    <w:rsid w:val="008B2B41"/>
    <w:rsid w:val="008C00A7"/>
    <w:rsid w:val="008C0BFE"/>
    <w:rsid w:val="008C4353"/>
    <w:rsid w:val="008C5D19"/>
    <w:rsid w:val="008D02DD"/>
    <w:rsid w:val="008D0CAB"/>
    <w:rsid w:val="008D18E8"/>
    <w:rsid w:val="008D2094"/>
    <w:rsid w:val="008D2407"/>
    <w:rsid w:val="008D2DC7"/>
    <w:rsid w:val="008D5A04"/>
    <w:rsid w:val="008E08A2"/>
    <w:rsid w:val="008E15A9"/>
    <w:rsid w:val="008E1785"/>
    <w:rsid w:val="008E2427"/>
    <w:rsid w:val="008E300F"/>
    <w:rsid w:val="008E5D33"/>
    <w:rsid w:val="008E6033"/>
    <w:rsid w:val="008E6286"/>
    <w:rsid w:val="008E776F"/>
    <w:rsid w:val="008F044E"/>
    <w:rsid w:val="008F1F46"/>
    <w:rsid w:val="008F2D28"/>
    <w:rsid w:val="008F31AB"/>
    <w:rsid w:val="008F48D2"/>
    <w:rsid w:val="008F5941"/>
    <w:rsid w:val="008F73FB"/>
    <w:rsid w:val="00900955"/>
    <w:rsid w:val="0090149B"/>
    <w:rsid w:val="00902C82"/>
    <w:rsid w:val="00904D9C"/>
    <w:rsid w:val="00905B72"/>
    <w:rsid w:val="0090678A"/>
    <w:rsid w:val="00906C41"/>
    <w:rsid w:val="00912867"/>
    <w:rsid w:val="009138E2"/>
    <w:rsid w:val="00913CF0"/>
    <w:rsid w:val="009140A8"/>
    <w:rsid w:val="00914833"/>
    <w:rsid w:val="00914969"/>
    <w:rsid w:val="0091799B"/>
    <w:rsid w:val="00920C74"/>
    <w:rsid w:val="00921C48"/>
    <w:rsid w:val="00921C56"/>
    <w:rsid w:val="00923218"/>
    <w:rsid w:val="00923266"/>
    <w:rsid w:val="009236CC"/>
    <w:rsid w:val="00925672"/>
    <w:rsid w:val="009305AC"/>
    <w:rsid w:val="0093130E"/>
    <w:rsid w:val="009313C9"/>
    <w:rsid w:val="009319DA"/>
    <w:rsid w:val="00932FA6"/>
    <w:rsid w:val="0093479D"/>
    <w:rsid w:val="00935A5A"/>
    <w:rsid w:val="00940A60"/>
    <w:rsid w:val="00940EB4"/>
    <w:rsid w:val="00941B79"/>
    <w:rsid w:val="009438ED"/>
    <w:rsid w:val="0094423B"/>
    <w:rsid w:val="00944C1E"/>
    <w:rsid w:val="009464BA"/>
    <w:rsid w:val="0094656E"/>
    <w:rsid w:val="009513BC"/>
    <w:rsid w:val="00952AC1"/>
    <w:rsid w:val="00952F99"/>
    <w:rsid w:val="009533A0"/>
    <w:rsid w:val="0095519D"/>
    <w:rsid w:val="00955C88"/>
    <w:rsid w:val="0095643E"/>
    <w:rsid w:val="00957654"/>
    <w:rsid w:val="00957EF3"/>
    <w:rsid w:val="00960FFE"/>
    <w:rsid w:val="00962291"/>
    <w:rsid w:val="00963A1F"/>
    <w:rsid w:val="00963E6B"/>
    <w:rsid w:val="00963F1A"/>
    <w:rsid w:val="00967BEF"/>
    <w:rsid w:val="00970A99"/>
    <w:rsid w:val="00972582"/>
    <w:rsid w:val="00972D61"/>
    <w:rsid w:val="00973291"/>
    <w:rsid w:val="00973E25"/>
    <w:rsid w:val="00974DE4"/>
    <w:rsid w:val="0097628A"/>
    <w:rsid w:val="00977F07"/>
    <w:rsid w:val="00980B6F"/>
    <w:rsid w:val="00980D04"/>
    <w:rsid w:val="00982623"/>
    <w:rsid w:val="00982FDC"/>
    <w:rsid w:val="0098476F"/>
    <w:rsid w:val="00984EDC"/>
    <w:rsid w:val="00984EF5"/>
    <w:rsid w:val="009903D1"/>
    <w:rsid w:val="00993E2E"/>
    <w:rsid w:val="00993EEA"/>
    <w:rsid w:val="00997C61"/>
    <w:rsid w:val="009A2A05"/>
    <w:rsid w:val="009A325A"/>
    <w:rsid w:val="009A34C1"/>
    <w:rsid w:val="009A3565"/>
    <w:rsid w:val="009A457F"/>
    <w:rsid w:val="009B2404"/>
    <w:rsid w:val="009B43BA"/>
    <w:rsid w:val="009B7BA2"/>
    <w:rsid w:val="009B7BF9"/>
    <w:rsid w:val="009C11D0"/>
    <w:rsid w:val="009C1323"/>
    <w:rsid w:val="009C1EA2"/>
    <w:rsid w:val="009C229B"/>
    <w:rsid w:val="009C2A38"/>
    <w:rsid w:val="009C487E"/>
    <w:rsid w:val="009C48CC"/>
    <w:rsid w:val="009C5272"/>
    <w:rsid w:val="009C5811"/>
    <w:rsid w:val="009C59F3"/>
    <w:rsid w:val="009C6903"/>
    <w:rsid w:val="009C73B1"/>
    <w:rsid w:val="009D349E"/>
    <w:rsid w:val="009D3528"/>
    <w:rsid w:val="009D3E95"/>
    <w:rsid w:val="009D4A40"/>
    <w:rsid w:val="009D5607"/>
    <w:rsid w:val="009D5653"/>
    <w:rsid w:val="009D57F4"/>
    <w:rsid w:val="009D69C5"/>
    <w:rsid w:val="009E2722"/>
    <w:rsid w:val="009E4499"/>
    <w:rsid w:val="009E46E9"/>
    <w:rsid w:val="009E4C8E"/>
    <w:rsid w:val="009F06F4"/>
    <w:rsid w:val="009F2225"/>
    <w:rsid w:val="009F2F45"/>
    <w:rsid w:val="009F4439"/>
    <w:rsid w:val="009F57C3"/>
    <w:rsid w:val="009F70E1"/>
    <w:rsid w:val="009F7E76"/>
    <w:rsid w:val="009F7ED8"/>
    <w:rsid w:val="00A02EFA"/>
    <w:rsid w:val="00A02F54"/>
    <w:rsid w:val="00A03865"/>
    <w:rsid w:val="00A04CD0"/>
    <w:rsid w:val="00A04FB8"/>
    <w:rsid w:val="00A05106"/>
    <w:rsid w:val="00A05CBC"/>
    <w:rsid w:val="00A05FFD"/>
    <w:rsid w:val="00A0625C"/>
    <w:rsid w:val="00A06799"/>
    <w:rsid w:val="00A06F9F"/>
    <w:rsid w:val="00A12C58"/>
    <w:rsid w:val="00A1420F"/>
    <w:rsid w:val="00A14802"/>
    <w:rsid w:val="00A15A8A"/>
    <w:rsid w:val="00A17799"/>
    <w:rsid w:val="00A2052E"/>
    <w:rsid w:val="00A213BA"/>
    <w:rsid w:val="00A22379"/>
    <w:rsid w:val="00A24E9D"/>
    <w:rsid w:val="00A26814"/>
    <w:rsid w:val="00A30982"/>
    <w:rsid w:val="00A311BF"/>
    <w:rsid w:val="00A325F8"/>
    <w:rsid w:val="00A3292A"/>
    <w:rsid w:val="00A32B73"/>
    <w:rsid w:val="00A32ECF"/>
    <w:rsid w:val="00A33277"/>
    <w:rsid w:val="00A4105E"/>
    <w:rsid w:val="00A43C56"/>
    <w:rsid w:val="00A44261"/>
    <w:rsid w:val="00A442A9"/>
    <w:rsid w:val="00A45305"/>
    <w:rsid w:val="00A459E4"/>
    <w:rsid w:val="00A508F5"/>
    <w:rsid w:val="00A512E7"/>
    <w:rsid w:val="00A51B13"/>
    <w:rsid w:val="00A52233"/>
    <w:rsid w:val="00A55D13"/>
    <w:rsid w:val="00A5626F"/>
    <w:rsid w:val="00A56C93"/>
    <w:rsid w:val="00A570EF"/>
    <w:rsid w:val="00A603FC"/>
    <w:rsid w:val="00A61630"/>
    <w:rsid w:val="00A61888"/>
    <w:rsid w:val="00A61D45"/>
    <w:rsid w:val="00A63701"/>
    <w:rsid w:val="00A65C8C"/>
    <w:rsid w:val="00A662CC"/>
    <w:rsid w:val="00A67CCA"/>
    <w:rsid w:val="00A70939"/>
    <w:rsid w:val="00A7208B"/>
    <w:rsid w:val="00A72D61"/>
    <w:rsid w:val="00A738A4"/>
    <w:rsid w:val="00A74676"/>
    <w:rsid w:val="00A74C61"/>
    <w:rsid w:val="00A74D0B"/>
    <w:rsid w:val="00A76B1A"/>
    <w:rsid w:val="00A770EB"/>
    <w:rsid w:val="00A80BFA"/>
    <w:rsid w:val="00A862E3"/>
    <w:rsid w:val="00A86368"/>
    <w:rsid w:val="00A86675"/>
    <w:rsid w:val="00A87564"/>
    <w:rsid w:val="00A87B5C"/>
    <w:rsid w:val="00A87E8F"/>
    <w:rsid w:val="00A90A7C"/>
    <w:rsid w:val="00A91028"/>
    <w:rsid w:val="00A92A7B"/>
    <w:rsid w:val="00A94CC3"/>
    <w:rsid w:val="00A96645"/>
    <w:rsid w:val="00A9676C"/>
    <w:rsid w:val="00A96D84"/>
    <w:rsid w:val="00A97111"/>
    <w:rsid w:val="00A9763E"/>
    <w:rsid w:val="00AA1967"/>
    <w:rsid w:val="00AA1AFD"/>
    <w:rsid w:val="00AA4606"/>
    <w:rsid w:val="00AA535C"/>
    <w:rsid w:val="00AA5C41"/>
    <w:rsid w:val="00AA774A"/>
    <w:rsid w:val="00AA78F6"/>
    <w:rsid w:val="00AA7A39"/>
    <w:rsid w:val="00AB03A9"/>
    <w:rsid w:val="00AB0782"/>
    <w:rsid w:val="00AB245B"/>
    <w:rsid w:val="00AB24FE"/>
    <w:rsid w:val="00AB37A2"/>
    <w:rsid w:val="00AB4A53"/>
    <w:rsid w:val="00AB4C50"/>
    <w:rsid w:val="00AB53DA"/>
    <w:rsid w:val="00AB5411"/>
    <w:rsid w:val="00AB5BF5"/>
    <w:rsid w:val="00AB6ACA"/>
    <w:rsid w:val="00AB6D68"/>
    <w:rsid w:val="00AB74FC"/>
    <w:rsid w:val="00AB77C7"/>
    <w:rsid w:val="00AC221C"/>
    <w:rsid w:val="00AC2F46"/>
    <w:rsid w:val="00AC382B"/>
    <w:rsid w:val="00AC6F05"/>
    <w:rsid w:val="00AC6FFA"/>
    <w:rsid w:val="00AC7AC1"/>
    <w:rsid w:val="00AD213F"/>
    <w:rsid w:val="00AD59AC"/>
    <w:rsid w:val="00AD5BA5"/>
    <w:rsid w:val="00AD6B18"/>
    <w:rsid w:val="00AD710B"/>
    <w:rsid w:val="00AE077E"/>
    <w:rsid w:val="00AE0A68"/>
    <w:rsid w:val="00AE205C"/>
    <w:rsid w:val="00AE39F1"/>
    <w:rsid w:val="00AF0999"/>
    <w:rsid w:val="00AF1350"/>
    <w:rsid w:val="00AF4060"/>
    <w:rsid w:val="00AF4EFA"/>
    <w:rsid w:val="00AF4FE3"/>
    <w:rsid w:val="00B01571"/>
    <w:rsid w:val="00B01B21"/>
    <w:rsid w:val="00B01E66"/>
    <w:rsid w:val="00B02783"/>
    <w:rsid w:val="00B029AC"/>
    <w:rsid w:val="00B03441"/>
    <w:rsid w:val="00B04F25"/>
    <w:rsid w:val="00B05FA3"/>
    <w:rsid w:val="00B06094"/>
    <w:rsid w:val="00B07B87"/>
    <w:rsid w:val="00B10F71"/>
    <w:rsid w:val="00B12075"/>
    <w:rsid w:val="00B143AA"/>
    <w:rsid w:val="00B14552"/>
    <w:rsid w:val="00B158F4"/>
    <w:rsid w:val="00B15E02"/>
    <w:rsid w:val="00B1736C"/>
    <w:rsid w:val="00B20507"/>
    <w:rsid w:val="00B2296C"/>
    <w:rsid w:val="00B236D3"/>
    <w:rsid w:val="00B237DB"/>
    <w:rsid w:val="00B2418C"/>
    <w:rsid w:val="00B241C1"/>
    <w:rsid w:val="00B24347"/>
    <w:rsid w:val="00B25137"/>
    <w:rsid w:val="00B272E3"/>
    <w:rsid w:val="00B3175E"/>
    <w:rsid w:val="00B33B1B"/>
    <w:rsid w:val="00B37149"/>
    <w:rsid w:val="00B37A83"/>
    <w:rsid w:val="00B40134"/>
    <w:rsid w:val="00B40637"/>
    <w:rsid w:val="00B43B05"/>
    <w:rsid w:val="00B4605F"/>
    <w:rsid w:val="00B5034C"/>
    <w:rsid w:val="00B50581"/>
    <w:rsid w:val="00B50AB9"/>
    <w:rsid w:val="00B51673"/>
    <w:rsid w:val="00B5198E"/>
    <w:rsid w:val="00B521DB"/>
    <w:rsid w:val="00B552D0"/>
    <w:rsid w:val="00B57F70"/>
    <w:rsid w:val="00B61F30"/>
    <w:rsid w:val="00B61FE2"/>
    <w:rsid w:val="00B62D99"/>
    <w:rsid w:val="00B64F89"/>
    <w:rsid w:val="00B67935"/>
    <w:rsid w:val="00B67D65"/>
    <w:rsid w:val="00B714F9"/>
    <w:rsid w:val="00B71F79"/>
    <w:rsid w:val="00B72F5E"/>
    <w:rsid w:val="00B730CB"/>
    <w:rsid w:val="00B738F9"/>
    <w:rsid w:val="00B73F14"/>
    <w:rsid w:val="00B75FC5"/>
    <w:rsid w:val="00B772C8"/>
    <w:rsid w:val="00B80AC6"/>
    <w:rsid w:val="00B80D52"/>
    <w:rsid w:val="00B826AC"/>
    <w:rsid w:val="00B834E2"/>
    <w:rsid w:val="00B85394"/>
    <w:rsid w:val="00B9109F"/>
    <w:rsid w:val="00B91F76"/>
    <w:rsid w:val="00B92A46"/>
    <w:rsid w:val="00B92CCE"/>
    <w:rsid w:val="00B92F37"/>
    <w:rsid w:val="00B9315D"/>
    <w:rsid w:val="00B93183"/>
    <w:rsid w:val="00B951F2"/>
    <w:rsid w:val="00B97A3C"/>
    <w:rsid w:val="00BA000B"/>
    <w:rsid w:val="00BA003A"/>
    <w:rsid w:val="00BA0721"/>
    <w:rsid w:val="00BA1C71"/>
    <w:rsid w:val="00BA27C8"/>
    <w:rsid w:val="00BA37BC"/>
    <w:rsid w:val="00BA3838"/>
    <w:rsid w:val="00BA59A4"/>
    <w:rsid w:val="00BA7725"/>
    <w:rsid w:val="00BB0DF8"/>
    <w:rsid w:val="00BB3257"/>
    <w:rsid w:val="00BB34F9"/>
    <w:rsid w:val="00BB5FB0"/>
    <w:rsid w:val="00BB7DAF"/>
    <w:rsid w:val="00BC0533"/>
    <w:rsid w:val="00BC0A04"/>
    <w:rsid w:val="00BC0B42"/>
    <w:rsid w:val="00BC0E1A"/>
    <w:rsid w:val="00BC1AD5"/>
    <w:rsid w:val="00BC2251"/>
    <w:rsid w:val="00BC2E6D"/>
    <w:rsid w:val="00BC74EE"/>
    <w:rsid w:val="00BC7C54"/>
    <w:rsid w:val="00BD0938"/>
    <w:rsid w:val="00BD2354"/>
    <w:rsid w:val="00BD3333"/>
    <w:rsid w:val="00BD3681"/>
    <w:rsid w:val="00BD3788"/>
    <w:rsid w:val="00BD66B8"/>
    <w:rsid w:val="00BD6A33"/>
    <w:rsid w:val="00BD7291"/>
    <w:rsid w:val="00BD7688"/>
    <w:rsid w:val="00BE03F3"/>
    <w:rsid w:val="00BE0E29"/>
    <w:rsid w:val="00BE6109"/>
    <w:rsid w:val="00BE6708"/>
    <w:rsid w:val="00BE6729"/>
    <w:rsid w:val="00BF12EC"/>
    <w:rsid w:val="00BF203A"/>
    <w:rsid w:val="00BF2287"/>
    <w:rsid w:val="00BF281C"/>
    <w:rsid w:val="00BF2EB2"/>
    <w:rsid w:val="00BF4D78"/>
    <w:rsid w:val="00BF67B3"/>
    <w:rsid w:val="00C0039F"/>
    <w:rsid w:val="00C0116E"/>
    <w:rsid w:val="00C02445"/>
    <w:rsid w:val="00C0394E"/>
    <w:rsid w:val="00C04693"/>
    <w:rsid w:val="00C05387"/>
    <w:rsid w:val="00C05D3B"/>
    <w:rsid w:val="00C109EF"/>
    <w:rsid w:val="00C10D63"/>
    <w:rsid w:val="00C1216F"/>
    <w:rsid w:val="00C127DA"/>
    <w:rsid w:val="00C14F03"/>
    <w:rsid w:val="00C1639B"/>
    <w:rsid w:val="00C16977"/>
    <w:rsid w:val="00C179C8"/>
    <w:rsid w:val="00C20249"/>
    <w:rsid w:val="00C224E7"/>
    <w:rsid w:val="00C22634"/>
    <w:rsid w:val="00C23508"/>
    <w:rsid w:val="00C23E21"/>
    <w:rsid w:val="00C244DA"/>
    <w:rsid w:val="00C27EA0"/>
    <w:rsid w:val="00C30890"/>
    <w:rsid w:val="00C30B2B"/>
    <w:rsid w:val="00C310A2"/>
    <w:rsid w:val="00C43C9B"/>
    <w:rsid w:val="00C44E22"/>
    <w:rsid w:val="00C4607D"/>
    <w:rsid w:val="00C462A6"/>
    <w:rsid w:val="00C47190"/>
    <w:rsid w:val="00C506B9"/>
    <w:rsid w:val="00C530C1"/>
    <w:rsid w:val="00C53DAB"/>
    <w:rsid w:val="00C54161"/>
    <w:rsid w:val="00C548D9"/>
    <w:rsid w:val="00C5574D"/>
    <w:rsid w:val="00C5672E"/>
    <w:rsid w:val="00C56756"/>
    <w:rsid w:val="00C56F12"/>
    <w:rsid w:val="00C5748E"/>
    <w:rsid w:val="00C60EFE"/>
    <w:rsid w:val="00C6206E"/>
    <w:rsid w:val="00C64393"/>
    <w:rsid w:val="00C653B1"/>
    <w:rsid w:val="00C6540D"/>
    <w:rsid w:val="00C65BE6"/>
    <w:rsid w:val="00C67F6B"/>
    <w:rsid w:val="00C7062A"/>
    <w:rsid w:val="00C715A6"/>
    <w:rsid w:val="00C7258C"/>
    <w:rsid w:val="00C741B3"/>
    <w:rsid w:val="00C741E2"/>
    <w:rsid w:val="00C806BB"/>
    <w:rsid w:val="00C84B81"/>
    <w:rsid w:val="00C870B5"/>
    <w:rsid w:val="00C872F9"/>
    <w:rsid w:val="00C914E1"/>
    <w:rsid w:val="00C91554"/>
    <w:rsid w:val="00C915B8"/>
    <w:rsid w:val="00C92478"/>
    <w:rsid w:val="00C92838"/>
    <w:rsid w:val="00C92BE8"/>
    <w:rsid w:val="00C93822"/>
    <w:rsid w:val="00C93999"/>
    <w:rsid w:val="00C93AEF"/>
    <w:rsid w:val="00C952C2"/>
    <w:rsid w:val="00C9532B"/>
    <w:rsid w:val="00C9595D"/>
    <w:rsid w:val="00C9736C"/>
    <w:rsid w:val="00CA0FD9"/>
    <w:rsid w:val="00CA1591"/>
    <w:rsid w:val="00CA1A81"/>
    <w:rsid w:val="00CA282A"/>
    <w:rsid w:val="00CA320F"/>
    <w:rsid w:val="00CA6001"/>
    <w:rsid w:val="00CA64C7"/>
    <w:rsid w:val="00CB0628"/>
    <w:rsid w:val="00CB19AF"/>
    <w:rsid w:val="00CB290E"/>
    <w:rsid w:val="00CB7A2E"/>
    <w:rsid w:val="00CB7A9C"/>
    <w:rsid w:val="00CC06C6"/>
    <w:rsid w:val="00CC3E9E"/>
    <w:rsid w:val="00CC493C"/>
    <w:rsid w:val="00CC54E4"/>
    <w:rsid w:val="00CC5CDE"/>
    <w:rsid w:val="00CC703D"/>
    <w:rsid w:val="00CC72FA"/>
    <w:rsid w:val="00CC7684"/>
    <w:rsid w:val="00CD04BF"/>
    <w:rsid w:val="00CD0A5B"/>
    <w:rsid w:val="00CD18FF"/>
    <w:rsid w:val="00CD2A67"/>
    <w:rsid w:val="00CE098D"/>
    <w:rsid w:val="00CE23F4"/>
    <w:rsid w:val="00CE43FF"/>
    <w:rsid w:val="00CE5B0E"/>
    <w:rsid w:val="00CE5ECB"/>
    <w:rsid w:val="00CE7518"/>
    <w:rsid w:val="00CF2D9F"/>
    <w:rsid w:val="00CF3DA9"/>
    <w:rsid w:val="00CF439E"/>
    <w:rsid w:val="00CF66DC"/>
    <w:rsid w:val="00CF6A08"/>
    <w:rsid w:val="00D0093F"/>
    <w:rsid w:val="00D02324"/>
    <w:rsid w:val="00D028EF"/>
    <w:rsid w:val="00D03E59"/>
    <w:rsid w:val="00D03F73"/>
    <w:rsid w:val="00D04F3F"/>
    <w:rsid w:val="00D07885"/>
    <w:rsid w:val="00D10A23"/>
    <w:rsid w:val="00D115BB"/>
    <w:rsid w:val="00D11BEC"/>
    <w:rsid w:val="00D1219E"/>
    <w:rsid w:val="00D12C02"/>
    <w:rsid w:val="00D171A5"/>
    <w:rsid w:val="00D17B2D"/>
    <w:rsid w:val="00D20091"/>
    <w:rsid w:val="00D21A5D"/>
    <w:rsid w:val="00D21EFA"/>
    <w:rsid w:val="00D23DB5"/>
    <w:rsid w:val="00D2480E"/>
    <w:rsid w:val="00D254CB"/>
    <w:rsid w:val="00D2581C"/>
    <w:rsid w:val="00D269F0"/>
    <w:rsid w:val="00D27997"/>
    <w:rsid w:val="00D30896"/>
    <w:rsid w:val="00D32AC2"/>
    <w:rsid w:val="00D32C15"/>
    <w:rsid w:val="00D332B8"/>
    <w:rsid w:val="00D332EE"/>
    <w:rsid w:val="00D33330"/>
    <w:rsid w:val="00D35DA4"/>
    <w:rsid w:val="00D37217"/>
    <w:rsid w:val="00D37E95"/>
    <w:rsid w:val="00D4016E"/>
    <w:rsid w:val="00D40559"/>
    <w:rsid w:val="00D40973"/>
    <w:rsid w:val="00D41B48"/>
    <w:rsid w:val="00D4239E"/>
    <w:rsid w:val="00D42832"/>
    <w:rsid w:val="00D455A6"/>
    <w:rsid w:val="00D458EC"/>
    <w:rsid w:val="00D4628B"/>
    <w:rsid w:val="00D4682F"/>
    <w:rsid w:val="00D46901"/>
    <w:rsid w:val="00D4707D"/>
    <w:rsid w:val="00D4778E"/>
    <w:rsid w:val="00D516AC"/>
    <w:rsid w:val="00D52BCF"/>
    <w:rsid w:val="00D5431D"/>
    <w:rsid w:val="00D546BD"/>
    <w:rsid w:val="00D549F7"/>
    <w:rsid w:val="00D571B3"/>
    <w:rsid w:val="00D60044"/>
    <w:rsid w:val="00D6071E"/>
    <w:rsid w:val="00D60CB9"/>
    <w:rsid w:val="00D617BE"/>
    <w:rsid w:val="00D62E60"/>
    <w:rsid w:val="00D63330"/>
    <w:rsid w:val="00D6443F"/>
    <w:rsid w:val="00D64618"/>
    <w:rsid w:val="00D64B0E"/>
    <w:rsid w:val="00D64B34"/>
    <w:rsid w:val="00D66292"/>
    <w:rsid w:val="00D737FE"/>
    <w:rsid w:val="00D75606"/>
    <w:rsid w:val="00D77D9E"/>
    <w:rsid w:val="00D80198"/>
    <w:rsid w:val="00D804DC"/>
    <w:rsid w:val="00D80777"/>
    <w:rsid w:val="00D84716"/>
    <w:rsid w:val="00D84E4B"/>
    <w:rsid w:val="00D86C79"/>
    <w:rsid w:val="00D870D3"/>
    <w:rsid w:val="00D87925"/>
    <w:rsid w:val="00D90156"/>
    <w:rsid w:val="00D92847"/>
    <w:rsid w:val="00D9462E"/>
    <w:rsid w:val="00D95807"/>
    <w:rsid w:val="00D9694F"/>
    <w:rsid w:val="00D979A9"/>
    <w:rsid w:val="00DA09A8"/>
    <w:rsid w:val="00DA0ADA"/>
    <w:rsid w:val="00DA37A5"/>
    <w:rsid w:val="00DA58F5"/>
    <w:rsid w:val="00DA6343"/>
    <w:rsid w:val="00DA6387"/>
    <w:rsid w:val="00DA7954"/>
    <w:rsid w:val="00DB7231"/>
    <w:rsid w:val="00DC1249"/>
    <w:rsid w:val="00DC12E8"/>
    <w:rsid w:val="00DC1C82"/>
    <w:rsid w:val="00DC2F8B"/>
    <w:rsid w:val="00DC3423"/>
    <w:rsid w:val="00DC6214"/>
    <w:rsid w:val="00DC65B5"/>
    <w:rsid w:val="00DC6989"/>
    <w:rsid w:val="00DD30E9"/>
    <w:rsid w:val="00DD41B2"/>
    <w:rsid w:val="00DD5763"/>
    <w:rsid w:val="00DD770C"/>
    <w:rsid w:val="00DE062C"/>
    <w:rsid w:val="00DE3DDD"/>
    <w:rsid w:val="00DE4777"/>
    <w:rsid w:val="00DE5C24"/>
    <w:rsid w:val="00DE5E90"/>
    <w:rsid w:val="00DE64C9"/>
    <w:rsid w:val="00DE7425"/>
    <w:rsid w:val="00DF0612"/>
    <w:rsid w:val="00DF11E8"/>
    <w:rsid w:val="00DF2C2A"/>
    <w:rsid w:val="00DF5388"/>
    <w:rsid w:val="00DF6C86"/>
    <w:rsid w:val="00E00076"/>
    <w:rsid w:val="00E01C59"/>
    <w:rsid w:val="00E02375"/>
    <w:rsid w:val="00E031D0"/>
    <w:rsid w:val="00E04082"/>
    <w:rsid w:val="00E07893"/>
    <w:rsid w:val="00E078E6"/>
    <w:rsid w:val="00E106B3"/>
    <w:rsid w:val="00E10E7B"/>
    <w:rsid w:val="00E11239"/>
    <w:rsid w:val="00E12C2F"/>
    <w:rsid w:val="00E132B7"/>
    <w:rsid w:val="00E133FF"/>
    <w:rsid w:val="00E13E2D"/>
    <w:rsid w:val="00E20BB1"/>
    <w:rsid w:val="00E21586"/>
    <w:rsid w:val="00E238D3"/>
    <w:rsid w:val="00E24164"/>
    <w:rsid w:val="00E25447"/>
    <w:rsid w:val="00E25F95"/>
    <w:rsid w:val="00E26975"/>
    <w:rsid w:val="00E27B82"/>
    <w:rsid w:val="00E32727"/>
    <w:rsid w:val="00E32F56"/>
    <w:rsid w:val="00E334AF"/>
    <w:rsid w:val="00E33DCB"/>
    <w:rsid w:val="00E341AD"/>
    <w:rsid w:val="00E37352"/>
    <w:rsid w:val="00E412C6"/>
    <w:rsid w:val="00E414C9"/>
    <w:rsid w:val="00E423A4"/>
    <w:rsid w:val="00E42F44"/>
    <w:rsid w:val="00E44C7C"/>
    <w:rsid w:val="00E457C3"/>
    <w:rsid w:val="00E479E2"/>
    <w:rsid w:val="00E5237B"/>
    <w:rsid w:val="00E53506"/>
    <w:rsid w:val="00E55805"/>
    <w:rsid w:val="00E562BF"/>
    <w:rsid w:val="00E5647F"/>
    <w:rsid w:val="00E5769F"/>
    <w:rsid w:val="00E578FD"/>
    <w:rsid w:val="00E6070B"/>
    <w:rsid w:val="00E63453"/>
    <w:rsid w:val="00E63621"/>
    <w:rsid w:val="00E637DB"/>
    <w:rsid w:val="00E6519E"/>
    <w:rsid w:val="00E6526C"/>
    <w:rsid w:val="00E658C6"/>
    <w:rsid w:val="00E65C95"/>
    <w:rsid w:val="00E66E34"/>
    <w:rsid w:val="00E720F1"/>
    <w:rsid w:val="00E7287C"/>
    <w:rsid w:val="00E72D34"/>
    <w:rsid w:val="00E739DA"/>
    <w:rsid w:val="00E75E59"/>
    <w:rsid w:val="00E82103"/>
    <w:rsid w:val="00E82555"/>
    <w:rsid w:val="00E8351F"/>
    <w:rsid w:val="00E8560F"/>
    <w:rsid w:val="00E86A82"/>
    <w:rsid w:val="00E87958"/>
    <w:rsid w:val="00E87FF4"/>
    <w:rsid w:val="00E90BDB"/>
    <w:rsid w:val="00E91562"/>
    <w:rsid w:val="00E9171F"/>
    <w:rsid w:val="00E944A0"/>
    <w:rsid w:val="00E95967"/>
    <w:rsid w:val="00E95FE7"/>
    <w:rsid w:val="00E974EA"/>
    <w:rsid w:val="00EA079A"/>
    <w:rsid w:val="00EA140B"/>
    <w:rsid w:val="00EA2C68"/>
    <w:rsid w:val="00EA3332"/>
    <w:rsid w:val="00EA5641"/>
    <w:rsid w:val="00EA782F"/>
    <w:rsid w:val="00EB0E0E"/>
    <w:rsid w:val="00EB0EB1"/>
    <w:rsid w:val="00EB1A7C"/>
    <w:rsid w:val="00EB20F3"/>
    <w:rsid w:val="00EB287D"/>
    <w:rsid w:val="00EB4277"/>
    <w:rsid w:val="00EB4369"/>
    <w:rsid w:val="00EB45C8"/>
    <w:rsid w:val="00EB4BD6"/>
    <w:rsid w:val="00EB4CFB"/>
    <w:rsid w:val="00EB5957"/>
    <w:rsid w:val="00EB620C"/>
    <w:rsid w:val="00EB63CE"/>
    <w:rsid w:val="00EB7A18"/>
    <w:rsid w:val="00EC036D"/>
    <w:rsid w:val="00EC0D27"/>
    <w:rsid w:val="00EC1366"/>
    <w:rsid w:val="00EC2193"/>
    <w:rsid w:val="00EC27EE"/>
    <w:rsid w:val="00EC2A87"/>
    <w:rsid w:val="00EC37B9"/>
    <w:rsid w:val="00EC424A"/>
    <w:rsid w:val="00EC47F8"/>
    <w:rsid w:val="00ED1764"/>
    <w:rsid w:val="00ED2109"/>
    <w:rsid w:val="00ED31FE"/>
    <w:rsid w:val="00ED3899"/>
    <w:rsid w:val="00ED3CB2"/>
    <w:rsid w:val="00ED4BBE"/>
    <w:rsid w:val="00ED51E0"/>
    <w:rsid w:val="00ED58BF"/>
    <w:rsid w:val="00ED650B"/>
    <w:rsid w:val="00EE09F6"/>
    <w:rsid w:val="00EE3086"/>
    <w:rsid w:val="00EE400E"/>
    <w:rsid w:val="00EE6771"/>
    <w:rsid w:val="00EF138B"/>
    <w:rsid w:val="00EF1EC1"/>
    <w:rsid w:val="00EF2A6F"/>
    <w:rsid w:val="00EF3524"/>
    <w:rsid w:val="00EF3B57"/>
    <w:rsid w:val="00EF6503"/>
    <w:rsid w:val="00EF758E"/>
    <w:rsid w:val="00EF795A"/>
    <w:rsid w:val="00F01771"/>
    <w:rsid w:val="00F01DB4"/>
    <w:rsid w:val="00F04ED2"/>
    <w:rsid w:val="00F06F6F"/>
    <w:rsid w:val="00F07865"/>
    <w:rsid w:val="00F07DC8"/>
    <w:rsid w:val="00F10C39"/>
    <w:rsid w:val="00F10F02"/>
    <w:rsid w:val="00F13113"/>
    <w:rsid w:val="00F13497"/>
    <w:rsid w:val="00F1437B"/>
    <w:rsid w:val="00F1565B"/>
    <w:rsid w:val="00F16E87"/>
    <w:rsid w:val="00F17BAD"/>
    <w:rsid w:val="00F17CFC"/>
    <w:rsid w:val="00F22128"/>
    <w:rsid w:val="00F24106"/>
    <w:rsid w:val="00F25D61"/>
    <w:rsid w:val="00F26E06"/>
    <w:rsid w:val="00F30ED3"/>
    <w:rsid w:val="00F31A0A"/>
    <w:rsid w:val="00F320E1"/>
    <w:rsid w:val="00F343F2"/>
    <w:rsid w:val="00F34FDA"/>
    <w:rsid w:val="00F35270"/>
    <w:rsid w:val="00F35978"/>
    <w:rsid w:val="00F364DC"/>
    <w:rsid w:val="00F379FC"/>
    <w:rsid w:val="00F40083"/>
    <w:rsid w:val="00F421D5"/>
    <w:rsid w:val="00F4225C"/>
    <w:rsid w:val="00F46028"/>
    <w:rsid w:val="00F46372"/>
    <w:rsid w:val="00F47DB0"/>
    <w:rsid w:val="00F51A14"/>
    <w:rsid w:val="00F51A28"/>
    <w:rsid w:val="00F52A68"/>
    <w:rsid w:val="00F538DC"/>
    <w:rsid w:val="00F53906"/>
    <w:rsid w:val="00F54419"/>
    <w:rsid w:val="00F54D22"/>
    <w:rsid w:val="00F55BA5"/>
    <w:rsid w:val="00F60BC9"/>
    <w:rsid w:val="00F60C5D"/>
    <w:rsid w:val="00F615EC"/>
    <w:rsid w:val="00F61AA8"/>
    <w:rsid w:val="00F632CC"/>
    <w:rsid w:val="00F63E2C"/>
    <w:rsid w:val="00F63FE6"/>
    <w:rsid w:val="00F65609"/>
    <w:rsid w:val="00F65BFB"/>
    <w:rsid w:val="00F65D30"/>
    <w:rsid w:val="00F65E85"/>
    <w:rsid w:val="00F67219"/>
    <w:rsid w:val="00F674D4"/>
    <w:rsid w:val="00F67A2C"/>
    <w:rsid w:val="00F71A6E"/>
    <w:rsid w:val="00F71BAC"/>
    <w:rsid w:val="00F72657"/>
    <w:rsid w:val="00F72E85"/>
    <w:rsid w:val="00F7314C"/>
    <w:rsid w:val="00F73F4C"/>
    <w:rsid w:val="00F77A34"/>
    <w:rsid w:val="00F77B03"/>
    <w:rsid w:val="00F80477"/>
    <w:rsid w:val="00F82177"/>
    <w:rsid w:val="00F82DB5"/>
    <w:rsid w:val="00F83350"/>
    <w:rsid w:val="00F851EC"/>
    <w:rsid w:val="00F90783"/>
    <w:rsid w:val="00F93C30"/>
    <w:rsid w:val="00F97948"/>
    <w:rsid w:val="00F97BB1"/>
    <w:rsid w:val="00FA372B"/>
    <w:rsid w:val="00FA6D0A"/>
    <w:rsid w:val="00FA6DD4"/>
    <w:rsid w:val="00FB1F24"/>
    <w:rsid w:val="00FB2143"/>
    <w:rsid w:val="00FB2514"/>
    <w:rsid w:val="00FB4305"/>
    <w:rsid w:val="00FB5054"/>
    <w:rsid w:val="00FB55B9"/>
    <w:rsid w:val="00FB6003"/>
    <w:rsid w:val="00FB69C5"/>
    <w:rsid w:val="00FC2C8F"/>
    <w:rsid w:val="00FC3DF0"/>
    <w:rsid w:val="00FC430C"/>
    <w:rsid w:val="00FC47ED"/>
    <w:rsid w:val="00FC57AC"/>
    <w:rsid w:val="00FC69C9"/>
    <w:rsid w:val="00FD113A"/>
    <w:rsid w:val="00FD27AF"/>
    <w:rsid w:val="00FD373C"/>
    <w:rsid w:val="00FD47E2"/>
    <w:rsid w:val="00FD4C34"/>
    <w:rsid w:val="00FD5353"/>
    <w:rsid w:val="00FD5937"/>
    <w:rsid w:val="00FD67B1"/>
    <w:rsid w:val="00FE0F33"/>
    <w:rsid w:val="00FE3C3A"/>
    <w:rsid w:val="00FE4AE2"/>
    <w:rsid w:val="00FE5509"/>
    <w:rsid w:val="00FE59E8"/>
    <w:rsid w:val="00FF036E"/>
    <w:rsid w:val="00FF06CF"/>
    <w:rsid w:val="00FF0BD5"/>
    <w:rsid w:val="00FF3334"/>
    <w:rsid w:val="00FF33DB"/>
    <w:rsid w:val="00FF39CA"/>
    <w:rsid w:val="00FF3FE2"/>
    <w:rsid w:val="00FF6535"/>
    <w:rsid w:val="00FF76DB"/>
    <w:rsid w:val="00FF7D0B"/>
    <w:rsid w:val="0178123A"/>
    <w:rsid w:val="02AC1073"/>
    <w:rsid w:val="02AF383B"/>
    <w:rsid w:val="02D52B76"/>
    <w:rsid w:val="02D84414"/>
    <w:rsid w:val="03060F81"/>
    <w:rsid w:val="030E1DBE"/>
    <w:rsid w:val="04392DD5"/>
    <w:rsid w:val="053826CB"/>
    <w:rsid w:val="053A08BB"/>
    <w:rsid w:val="05AF76AE"/>
    <w:rsid w:val="05D80F6A"/>
    <w:rsid w:val="05F61781"/>
    <w:rsid w:val="05F81FD0"/>
    <w:rsid w:val="07550729"/>
    <w:rsid w:val="077C7F75"/>
    <w:rsid w:val="079A1CEC"/>
    <w:rsid w:val="079B438E"/>
    <w:rsid w:val="07B541DC"/>
    <w:rsid w:val="07BF0085"/>
    <w:rsid w:val="08D453CD"/>
    <w:rsid w:val="09145E25"/>
    <w:rsid w:val="092504D5"/>
    <w:rsid w:val="099472E7"/>
    <w:rsid w:val="09AB2883"/>
    <w:rsid w:val="09FE29B2"/>
    <w:rsid w:val="0A2D5046"/>
    <w:rsid w:val="0A3B59B5"/>
    <w:rsid w:val="0A5D749B"/>
    <w:rsid w:val="0B48482D"/>
    <w:rsid w:val="0B5331D2"/>
    <w:rsid w:val="0BAD3F9D"/>
    <w:rsid w:val="0C083FBC"/>
    <w:rsid w:val="0C6453EC"/>
    <w:rsid w:val="0C897FE6"/>
    <w:rsid w:val="0CCD7988"/>
    <w:rsid w:val="0CDF5B78"/>
    <w:rsid w:val="0CFB5DB3"/>
    <w:rsid w:val="0D335069"/>
    <w:rsid w:val="0D976274"/>
    <w:rsid w:val="0DA47D15"/>
    <w:rsid w:val="0DA96FEA"/>
    <w:rsid w:val="0DD91A5A"/>
    <w:rsid w:val="0E160232"/>
    <w:rsid w:val="0E480140"/>
    <w:rsid w:val="0E532C7B"/>
    <w:rsid w:val="0E7C06D1"/>
    <w:rsid w:val="0EA247DE"/>
    <w:rsid w:val="0EBC4BEA"/>
    <w:rsid w:val="0EE7435D"/>
    <w:rsid w:val="101F18D4"/>
    <w:rsid w:val="10FB43DC"/>
    <w:rsid w:val="11E9219A"/>
    <w:rsid w:val="12A351E8"/>
    <w:rsid w:val="12C704C4"/>
    <w:rsid w:val="13054DB2"/>
    <w:rsid w:val="139E5F4F"/>
    <w:rsid w:val="139F77E2"/>
    <w:rsid w:val="152F1DA5"/>
    <w:rsid w:val="155138BC"/>
    <w:rsid w:val="158346B4"/>
    <w:rsid w:val="15C471A6"/>
    <w:rsid w:val="15D864A1"/>
    <w:rsid w:val="15FD7FC2"/>
    <w:rsid w:val="164B6F7F"/>
    <w:rsid w:val="166B2DEC"/>
    <w:rsid w:val="16E32FB8"/>
    <w:rsid w:val="1746324B"/>
    <w:rsid w:val="17665176"/>
    <w:rsid w:val="178E7A6B"/>
    <w:rsid w:val="17C70888"/>
    <w:rsid w:val="18455C50"/>
    <w:rsid w:val="199E386A"/>
    <w:rsid w:val="1A3056F1"/>
    <w:rsid w:val="1A392EE9"/>
    <w:rsid w:val="1A4935AE"/>
    <w:rsid w:val="1A701673"/>
    <w:rsid w:val="1A7B52F7"/>
    <w:rsid w:val="1A9133CF"/>
    <w:rsid w:val="1B281F85"/>
    <w:rsid w:val="1B515269"/>
    <w:rsid w:val="1BD622B1"/>
    <w:rsid w:val="1C913E45"/>
    <w:rsid w:val="1CA96186"/>
    <w:rsid w:val="1CCF6AD5"/>
    <w:rsid w:val="1CD61A86"/>
    <w:rsid w:val="1CF31A47"/>
    <w:rsid w:val="1DE03947"/>
    <w:rsid w:val="1EDF6E66"/>
    <w:rsid w:val="1EE91B0C"/>
    <w:rsid w:val="1F33268E"/>
    <w:rsid w:val="1FFD581B"/>
    <w:rsid w:val="20C26BE4"/>
    <w:rsid w:val="20D3029D"/>
    <w:rsid w:val="21D85476"/>
    <w:rsid w:val="22AC349C"/>
    <w:rsid w:val="234F5BD5"/>
    <w:rsid w:val="24247062"/>
    <w:rsid w:val="25314C51"/>
    <w:rsid w:val="25405ABC"/>
    <w:rsid w:val="25875AFA"/>
    <w:rsid w:val="25AD3ECE"/>
    <w:rsid w:val="267442D0"/>
    <w:rsid w:val="275D6B12"/>
    <w:rsid w:val="277A634D"/>
    <w:rsid w:val="278C73F8"/>
    <w:rsid w:val="28887BBF"/>
    <w:rsid w:val="289C18BC"/>
    <w:rsid w:val="28E0094C"/>
    <w:rsid w:val="28F66AA4"/>
    <w:rsid w:val="29144A30"/>
    <w:rsid w:val="29C51CBE"/>
    <w:rsid w:val="2AB81675"/>
    <w:rsid w:val="2ACD4FE0"/>
    <w:rsid w:val="2B230073"/>
    <w:rsid w:val="2B34402E"/>
    <w:rsid w:val="2B7D3C27"/>
    <w:rsid w:val="2BEC2B5B"/>
    <w:rsid w:val="2C860112"/>
    <w:rsid w:val="2CB573F1"/>
    <w:rsid w:val="2E354362"/>
    <w:rsid w:val="2E635D60"/>
    <w:rsid w:val="2EB528EC"/>
    <w:rsid w:val="2EB77477"/>
    <w:rsid w:val="2EFE6E2D"/>
    <w:rsid w:val="2F3C5BA7"/>
    <w:rsid w:val="2F636D15"/>
    <w:rsid w:val="2F9D504D"/>
    <w:rsid w:val="30281C88"/>
    <w:rsid w:val="306B289B"/>
    <w:rsid w:val="30812261"/>
    <w:rsid w:val="30AC6BEB"/>
    <w:rsid w:val="30E33504"/>
    <w:rsid w:val="31307C00"/>
    <w:rsid w:val="31523460"/>
    <w:rsid w:val="31952E4A"/>
    <w:rsid w:val="31D053A4"/>
    <w:rsid w:val="322A57A2"/>
    <w:rsid w:val="32531328"/>
    <w:rsid w:val="3339709F"/>
    <w:rsid w:val="336B0809"/>
    <w:rsid w:val="337D1AA5"/>
    <w:rsid w:val="33C90E38"/>
    <w:rsid w:val="345E036E"/>
    <w:rsid w:val="34FD7B87"/>
    <w:rsid w:val="354A1F66"/>
    <w:rsid w:val="359202CF"/>
    <w:rsid w:val="361651B5"/>
    <w:rsid w:val="362E1BAC"/>
    <w:rsid w:val="36681FE1"/>
    <w:rsid w:val="36D861B6"/>
    <w:rsid w:val="370074BA"/>
    <w:rsid w:val="378E2ECF"/>
    <w:rsid w:val="38064FA4"/>
    <w:rsid w:val="383547E3"/>
    <w:rsid w:val="384B20FC"/>
    <w:rsid w:val="38F50675"/>
    <w:rsid w:val="390674B2"/>
    <w:rsid w:val="39074B30"/>
    <w:rsid w:val="395016C1"/>
    <w:rsid w:val="3A06303A"/>
    <w:rsid w:val="3ADC700F"/>
    <w:rsid w:val="3D4F7403"/>
    <w:rsid w:val="3D771AFC"/>
    <w:rsid w:val="3DAD6D7C"/>
    <w:rsid w:val="3DBB39CE"/>
    <w:rsid w:val="3E60648C"/>
    <w:rsid w:val="3FD37E62"/>
    <w:rsid w:val="3FDF2363"/>
    <w:rsid w:val="401F5BBB"/>
    <w:rsid w:val="40767DF9"/>
    <w:rsid w:val="40B261A2"/>
    <w:rsid w:val="410A1661"/>
    <w:rsid w:val="410F3838"/>
    <w:rsid w:val="41801923"/>
    <w:rsid w:val="41F540C0"/>
    <w:rsid w:val="43212C92"/>
    <w:rsid w:val="433E2706"/>
    <w:rsid w:val="43E50BC0"/>
    <w:rsid w:val="444010A8"/>
    <w:rsid w:val="444C0E68"/>
    <w:rsid w:val="455148CF"/>
    <w:rsid w:val="455D0561"/>
    <w:rsid w:val="456A6B72"/>
    <w:rsid w:val="459736E0"/>
    <w:rsid w:val="46B128DD"/>
    <w:rsid w:val="470B6000"/>
    <w:rsid w:val="475D61DC"/>
    <w:rsid w:val="4856518C"/>
    <w:rsid w:val="48D97AD5"/>
    <w:rsid w:val="49C820BA"/>
    <w:rsid w:val="49CB02B6"/>
    <w:rsid w:val="4A275494"/>
    <w:rsid w:val="4A4E6A63"/>
    <w:rsid w:val="4A9A7DA7"/>
    <w:rsid w:val="4AD72A26"/>
    <w:rsid w:val="4AFD5D93"/>
    <w:rsid w:val="4B475260"/>
    <w:rsid w:val="4B5160DF"/>
    <w:rsid w:val="4BA81C0F"/>
    <w:rsid w:val="4BC209A0"/>
    <w:rsid w:val="4C997D3D"/>
    <w:rsid w:val="4C9D5A7F"/>
    <w:rsid w:val="4D626381"/>
    <w:rsid w:val="4D704F42"/>
    <w:rsid w:val="4D9008A2"/>
    <w:rsid w:val="4E265601"/>
    <w:rsid w:val="4E4A6D92"/>
    <w:rsid w:val="4E5377DA"/>
    <w:rsid w:val="4E655CC3"/>
    <w:rsid w:val="4F565EBB"/>
    <w:rsid w:val="4F7F210E"/>
    <w:rsid w:val="4FD317B8"/>
    <w:rsid w:val="50033E4B"/>
    <w:rsid w:val="50707007"/>
    <w:rsid w:val="507F724A"/>
    <w:rsid w:val="51735001"/>
    <w:rsid w:val="517C2FD8"/>
    <w:rsid w:val="52CD6993"/>
    <w:rsid w:val="535B264D"/>
    <w:rsid w:val="537960CC"/>
    <w:rsid w:val="53B37582"/>
    <w:rsid w:val="54200207"/>
    <w:rsid w:val="545E3D46"/>
    <w:rsid w:val="54826475"/>
    <w:rsid w:val="54D00311"/>
    <w:rsid w:val="55741347"/>
    <w:rsid w:val="557B0928"/>
    <w:rsid w:val="56066443"/>
    <w:rsid w:val="56E9366F"/>
    <w:rsid w:val="57B669EE"/>
    <w:rsid w:val="57B7551B"/>
    <w:rsid w:val="57D21153"/>
    <w:rsid w:val="58555460"/>
    <w:rsid w:val="59386531"/>
    <w:rsid w:val="59D14FBA"/>
    <w:rsid w:val="59E355DE"/>
    <w:rsid w:val="59ED1414"/>
    <w:rsid w:val="59FF191A"/>
    <w:rsid w:val="5A767910"/>
    <w:rsid w:val="5ADE798F"/>
    <w:rsid w:val="5C8D5E8B"/>
    <w:rsid w:val="5CFD2F0B"/>
    <w:rsid w:val="5DC6077B"/>
    <w:rsid w:val="5EF418E1"/>
    <w:rsid w:val="5FCD1C1B"/>
    <w:rsid w:val="5FCF5AF8"/>
    <w:rsid w:val="607E6A28"/>
    <w:rsid w:val="612E4AA0"/>
    <w:rsid w:val="614A053D"/>
    <w:rsid w:val="615C5B27"/>
    <w:rsid w:val="61F730E4"/>
    <w:rsid w:val="62922E0D"/>
    <w:rsid w:val="62A80778"/>
    <w:rsid w:val="63212B0F"/>
    <w:rsid w:val="634646B6"/>
    <w:rsid w:val="638875A7"/>
    <w:rsid w:val="63956BF1"/>
    <w:rsid w:val="63D15719"/>
    <w:rsid w:val="63FE69AC"/>
    <w:rsid w:val="640B731B"/>
    <w:rsid w:val="642908B4"/>
    <w:rsid w:val="64B87CAC"/>
    <w:rsid w:val="65856C59"/>
    <w:rsid w:val="66D22546"/>
    <w:rsid w:val="672C4748"/>
    <w:rsid w:val="67614696"/>
    <w:rsid w:val="67D619EE"/>
    <w:rsid w:val="67DF4C99"/>
    <w:rsid w:val="68203E3F"/>
    <w:rsid w:val="68863414"/>
    <w:rsid w:val="699413F1"/>
    <w:rsid w:val="6A055399"/>
    <w:rsid w:val="6AD42215"/>
    <w:rsid w:val="6B032AFA"/>
    <w:rsid w:val="6B2C02A3"/>
    <w:rsid w:val="6B6537B4"/>
    <w:rsid w:val="6B741C4A"/>
    <w:rsid w:val="6BBC31FF"/>
    <w:rsid w:val="6BCC36BE"/>
    <w:rsid w:val="6BEC1E12"/>
    <w:rsid w:val="6BED0ADA"/>
    <w:rsid w:val="6D5835D1"/>
    <w:rsid w:val="6D5E0C30"/>
    <w:rsid w:val="6E5D23A8"/>
    <w:rsid w:val="6E7C5BD8"/>
    <w:rsid w:val="6FCF38F2"/>
    <w:rsid w:val="6FED3D79"/>
    <w:rsid w:val="6FFF6517"/>
    <w:rsid w:val="70030492"/>
    <w:rsid w:val="702C664F"/>
    <w:rsid w:val="7084648B"/>
    <w:rsid w:val="708F6BDE"/>
    <w:rsid w:val="70DC1E23"/>
    <w:rsid w:val="713331D1"/>
    <w:rsid w:val="71463740"/>
    <w:rsid w:val="72823C5F"/>
    <w:rsid w:val="730F142D"/>
    <w:rsid w:val="73277A20"/>
    <w:rsid w:val="73637AA6"/>
    <w:rsid w:val="736F30A3"/>
    <w:rsid w:val="738A6FA5"/>
    <w:rsid w:val="738B77F0"/>
    <w:rsid w:val="73C05A2C"/>
    <w:rsid w:val="73E05F55"/>
    <w:rsid w:val="745B7297"/>
    <w:rsid w:val="75507BE5"/>
    <w:rsid w:val="75690121"/>
    <w:rsid w:val="75E83E72"/>
    <w:rsid w:val="764E0B72"/>
    <w:rsid w:val="76AD7DBE"/>
    <w:rsid w:val="76DD3932"/>
    <w:rsid w:val="76E61E25"/>
    <w:rsid w:val="772F6027"/>
    <w:rsid w:val="7771703D"/>
    <w:rsid w:val="777C2A45"/>
    <w:rsid w:val="77B465A6"/>
    <w:rsid w:val="789B1C6B"/>
    <w:rsid w:val="79521809"/>
    <w:rsid w:val="79652BD2"/>
    <w:rsid w:val="797E3C3A"/>
    <w:rsid w:val="79DC3BE6"/>
    <w:rsid w:val="7A7069A0"/>
    <w:rsid w:val="7B4A5522"/>
    <w:rsid w:val="7BCE0F02"/>
    <w:rsid w:val="7BD06A28"/>
    <w:rsid w:val="7C172FBE"/>
    <w:rsid w:val="7C1A5EF5"/>
    <w:rsid w:val="7C631BA6"/>
    <w:rsid w:val="7CE56503"/>
    <w:rsid w:val="7D1250D9"/>
    <w:rsid w:val="7D481683"/>
    <w:rsid w:val="7DD547CA"/>
    <w:rsid w:val="7DE40CF1"/>
    <w:rsid w:val="7E0706D0"/>
    <w:rsid w:val="7E3A75F1"/>
    <w:rsid w:val="7E61605D"/>
    <w:rsid w:val="7E696CC0"/>
    <w:rsid w:val="7E906943"/>
    <w:rsid w:val="7EA3781B"/>
    <w:rsid w:val="7EB75C7D"/>
    <w:rsid w:val="7ECB797B"/>
    <w:rsid w:val="7F0F1A34"/>
    <w:rsid w:val="7F5B0CFF"/>
    <w:rsid w:val="7FC1151A"/>
    <w:rsid w:val="7FED517D"/>
    <w:rsid w:val="7FFC429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qFormat="1" w:unhideWhenUsed="0" w:uiPriority="0" w:semiHidden="0" w:name="index 2"/>
    <w:lsdException w:uiPriority="99" w:name="index 3"/>
    <w:lsdException w:uiPriority="99" w:name="index 4"/>
    <w:lsdException w:uiPriority="99" w:name="index 5"/>
    <w:lsdException w:qFormat="1" w:unhideWhenUsed="0" w:uiPriority="0" w:semiHidden="0" w:name="index 6"/>
    <w:lsdException w:uiPriority="99" w:name="index 7"/>
    <w:lsdException w:uiPriority="99" w:name="index 8"/>
    <w:lsdException w:uiPriority="99" w:name="index 9"/>
    <w:lsdException w:qFormat="1" w:unhideWhenUsed="0" w:uiPriority="0" w:name="toc 1"/>
    <w:lsdException w:qFormat="1" w:unhideWhenUsed="0" w:uiPriority="0" w:name="toc 2"/>
    <w:lsdException w:qFormat="1" w:unhideWhenUsed="0" w:uiPriority="39"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qFormat="1" w:unhideWhenUsed="0" w:uiPriority="0" w:semiHidden="0" w:name="Normal Indent"/>
    <w:lsdException w:uiPriority="99"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qFormat="1" w:unhideWhenUsed="0" w:uiPriority="0" w:semiHidden="0"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qFormat="1" w:unhideWhenUsed="0" w:uiPriority="0" w:semiHidden="0" w:name="List"/>
    <w:lsdException w:qFormat="1" w:unhideWhenUsed="0" w:uiPriority="0" w:semiHidden="0" w:name="List Bullet"/>
    <w:lsdException w:uiPriority="99" w:name="List Number"/>
    <w:lsdException w:qFormat="1" w:unhideWhenUsed="0" w:uiPriority="0" w:semiHidden="0" w:name="List 2"/>
    <w:lsdException w:qFormat="1" w:unhideWhenUsed="0" w:uiPriority="0" w:semiHidden="0" w:name="List 3"/>
    <w:lsdException w:uiPriority="99" w:name="List 4"/>
    <w:lsdException w:uiPriority="99"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iPriority="99"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0" w:semiHidden="0" w:name="Hyperlink"/>
    <w:lsdException w:qFormat="1"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qFormat="1" w:uiPriority="0"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39" w:semiHidden="0" w:name="Table Grid"/>
    <w:lsdException w:qFormat="1"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qFormat="1" w:unhideWhenUsed="0" w:uiPriority="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3"/>
    <w:next w:val="1"/>
    <w:link w:val="65"/>
    <w:autoRedefine/>
    <w:qFormat/>
    <w:uiPriority w:val="0"/>
    <w:pPr>
      <w:spacing w:before="340" w:after="330" w:line="360" w:lineRule="auto"/>
      <w:jc w:val="center"/>
      <w:outlineLvl w:val="0"/>
    </w:pPr>
    <w:rPr>
      <w:rFonts w:eastAsia="黑体"/>
      <w:kern w:val="44"/>
      <w:szCs w:val="44"/>
    </w:rPr>
  </w:style>
  <w:style w:type="paragraph" w:styleId="5">
    <w:name w:val="heading 2"/>
    <w:basedOn w:val="3"/>
    <w:next w:val="4"/>
    <w:link w:val="66"/>
    <w:autoRedefine/>
    <w:qFormat/>
    <w:uiPriority w:val="0"/>
    <w:pPr>
      <w:adjustRightInd w:val="0"/>
      <w:jc w:val="center"/>
      <w:textAlignment w:val="baseline"/>
      <w:outlineLvl w:val="1"/>
    </w:pPr>
    <w:rPr>
      <w:kern w:val="0"/>
      <w:sz w:val="24"/>
      <w:szCs w:val="20"/>
    </w:rPr>
  </w:style>
  <w:style w:type="paragraph" w:styleId="3">
    <w:name w:val="heading 3"/>
    <w:basedOn w:val="4"/>
    <w:next w:val="1"/>
    <w:link w:val="64"/>
    <w:autoRedefine/>
    <w:qFormat/>
    <w:uiPriority w:val="0"/>
    <w:pPr>
      <w:spacing w:before="260" w:after="260" w:line="240" w:lineRule="auto"/>
      <w:outlineLvl w:val="2"/>
    </w:pPr>
    <w:rPr>
      <w:rFonts w:ascii="宋体" w:hAnsi="宋体" w:eastAsia="宋体"/>
      <w:szCs w:val="32"/>
    </w:rPr>
  </w:style>
  <w:style w:type="paragraph" w:styleId="4">
    <w:name w:val="heading 4"/>
    <w:basedOn w:val="1"/>
    <w:next w:val="1"/>
    <w:link w:val="63"/>
    <w:autoRedefine/>
    <w:qFormat/>
    <w:uiPriority w:val="0"/>
    <w:pPr>
      <w:keepNext/>
      <w:keepLines/>
      <w:spacing w:before="280" w:after="290" w:line="376" w:lineRule="auto"/>
      <w:outlineLvl w:val="3"/>
    </w:pPr>
    <w:rPr>
      <w:rFonts w:ascii="Arial" w:hAnsi="Arial" w:eastAsia="黑体" w:cs="Times New Roman"/>
      <w:b/>
      <w:bCs/>
      <w:sz w:val="28"/>
      <w:szCs w:val="28"/>
    </w:rPr>
  </w:style>
  <w:style w:type="paragraph" w:styleId="6">
    <w:name w:val="heading 5"/>
    <w:basedOn w:val="1"/>
    <w:next w:val="7"/>
    <w:link w:val="68"/>
    <w:autoRedefine/>
    <w:qFormat/>
    <w:uiPriority w:val="0"/>
    <w:pPr>
      <w:keepNext/>
      <w:keepLines/>
      <w:spacing w:before="280" w:after="290" w:line="376" w:lineRule="auto"/>
      <w:outlineLvl w:val="4"/>
    </w:pPr>
    <w:rPr>
      <w:rFonts w:ascii="Times New Roman" w:hAnsi="Times New Roman" w:eastAsia="宋体" w:cs="Times New Roman"/>
      <w:b/>
      <w:sz w:val="28"/>
      <w:szCs w:val="20"/>
    </w:rPr>
  </w:style>
  <w:style w:type="paragraph" w:styleId="8">
    <w:name w:val="heading 6"/>
    <w:basedOn w:val="1"/>
    <w:next w:val="7"/>
    <w:link w:val="69"/>
    <w:autoRedefine/>
    <w:qFormat/>
    <w:uiPriority w:val="0"/>
    <w:pPr>
      <w:keepNext/>
      <w:keepLines/>
      <w:spacing w:before="240" w:after="64" w:line="320" w:lineRule="auto"/>
      <w:outlineLvl w:val="5"/>
    </w:pPr>
    <w:rPr>
      <w:rFonts w:ascii="Arial" w:hAnsi="Arial" w:eastAsia="黑体" w:cs="Times New Roman"/>
      <w:b/>
      <w:sz w:val="24"/>
      <w:szCs w:val="20"/>
    </w:rPr>
  </w:style>
  <w:style w:type="paragraph" w:styleId="9">
    <w:name w:val="heading 7"/>
    <w:basedOn w:val="1"/>
    <w:next w:val="7"/>
    <w:link w:val="70"/>
    <w:autoRedefine/>
    <w:qFormat/>
    <w:uiPriority w:val="0"/>
    <w:pPr>
      <w:keepNext/>
      <w:keepLines/>
      <w:spacing w:before="240" w:after="64" w:line="320" w:lineRule="auto"/>
      <w:outlineLvl w:val="6"/>
    </w:pPr>
    <w:rPr>
      <w:rFonts w:ascii="Times New Roman" w:hAnsi="Times New Roman" w:eastAsia="宋体" w:cs="Times New Roman"/>
      <w:b/>
      <w:sz w:val="24"/>
      <w:szCs w:val="20"/>
    </w:rPr>
  </w:style>
  <w:style w:type="paragraph" w:styleId="10">
    <w:name w:val="heading 8"/>
    <w:basedOn w:val="1"/>
    <w:next w:val="7"/>
    <w:link w:val="71"/>
    <w:autoRedefine/>
    <w:qFormat/>
    <w:uiPriority w:val="0"/>
    <w:pPr>
      <w:keepNext/>
      <w:keepLines/>
      <w:spacing w:before="240" w:after="64" w:line="320" w:lineRule="auto"/>
      <w:outlineLvl w:val="7"/>
    </w:pPr>
    <w:rPr>
      <w:rFonts w:ascii="Arial" w:hAnsi="Arial" w:eastAsia="黑体" w:cs="Times New Roman"/>
      <w:sz w:val="24"/>
      <w:szCs w:val="20"/>
    </w:rPr>
  </w:style>
  <w:style w:type="paragraph" w:styleId="11">
    <w:name w:val="heading 9"/>
    <w:basedOn w:val="1"/>
    <w:next w:val="7"/>
    <w:link w:val="72"/>
    <w:autoRedefine/>
    <w:qFormat/>
    <w:uiPriority w:val="0"/>
    <w:pPr>
      <w:keepNext/>
      <w:keepLines/>
      <w:spacing w:before="240" w:after="64" w:line="320" w:lineRule="auto"/>
      <w:outlineLvl w:val="8"/>
    </w:pPr>
    <w:rPr>
      <w:rFonts w:ascii="Arial" w:hAnsi="Arial" w:eastAsia="黑体" w:cs="Times New Roman"/>
      <w:szCs w:val="20"/>
    </w:rPr>
  </w:style>
  <w:style w:type="character" w:default="1" w:styleId="56">
    <w:name w:val="Default Paragraph Font"/>
    <w:semiHidden/>
    <w:unhideWhenUsed/>
    <w:qFormat/>
    <w:uiPriority w:val="1"/>
  </w:style>
  <w:style w:type="table" w:default="1" w:styleId="54">
    <w:name w:val="Normal Table"/>
    <w:semiHidden/>
    <w:unhideWhenUsed/>
    <w:uiPriority w:val="99"/>
    <w:tblPr>
      <w:tblCellMar>
        <w:top w:w="0" w:type="dxa"/>
        <w:left w:w="108" w:type="dxa"/>
        <w:bottom w:w="0" w:type="dxa"/>
        <w:right w:w="108" w:type="dxa"/>
      </w:tblCellMar>
    </w:tblPr>
  </w:style>
  <w:style w:type="paragraph" w:styleId="7">
    <w:name w:val="Normal Indent"/>
    <w:basedOn w:val="1"/>
    <w:link w:val="67"/>
    <w:autoRedefine/>
    <w:qFormat/>
    <w:uiPriority w:val="0"/>
    <w:pPr>
      <w:ind w:firstLine="420"/>
    </w:pPr>
    <w:rPr>
      <w:rFonts w:ascii="Times New Roman" w:hAnsi="Times New Roman" w:eastAsia="宋体" w:cs="Times New Roman"/>
      <w:szCs w:val="20"/>
    </w:rPr>
  </w:style>
  <w:style w:type="paragraph" w:styleId="12">
    <w:name w:val="List 3"/>
    <w:basedOn w:val="1"/>
    <w:autoRedefine/>
    <w:qFormat/>
    <w:uiPriority w:val="0"/>
    <w:pPr>
      <w:ind w:left="100" w:leftChars="400" w:hanging="200" w:hangingChars="200"/>
    </w:pPr>
    <w:rPr>
      <w:rFonts w:ascii="Times New Roman" w:hAnsi="Times New Roman" w:eastAsia="宋体" w:cs="Times New Roman"/>
      <w:szCs w:val="24"/>
    </w:rPr>
  </w:style>
  <w:style w:type="paragraph" w:styleId="13">
    <w:name w:val="toc 7"/>
    <w:basedOn w:val="1"/>
    <w:next w:val="1"/>
    <w:autoRedefine/>
    <w:semiHidden/>
    <w:qFormat/>
    <w:uiPriority w:val="0"/>
    <w:pPr>
      <w:ind w:left="1260"/>
      <w:jc w:val="left"/>
    </w:pPr>
    <w:rPr>
      <w:rFonts w:ascii="Times New Roman" w:hAnsi="Times New Roman" w:eastAsia="宋体" w:cs="Times New Roman"/>
      <w:szCs w:val="21"/>
    </w:rPr>
  </w:style>
  <w:style w:type="paragraph" w:styleId="14">
    <w:name w:val="List Bullet 4"/>
    <w:basedOn w:val="1"/>
    <w:autoRedefine/>
    <w:qFormat/>
    <w:uiPriority w:val="0"/>
    <w:pPr>
      <w:tabs>
        <w:tab w:val="left" w:pos="1620"/>
      </w:tabs>
      <w:ind w:left="1620" w:leftChars="600" w:hanging="360" w:hangingChars="200"/>
    </w:pPr>
    <w:rPr>
      <w:rFonts w:ascii="Times New Roman" w:hAnsi="Times New Roman" w:eastAsia="宋体" w:cs="Times New Roman"/>
      <w:szCs w:val="24"/>
    </w:rPr>
  </w:style>
  <w:style w:type="paragraph" w:styleId="15">
    <w:name w:val="caption"/>
    <w:basedOn w:val="1"/>
    <w:next w:val="1"/>
    <w:autoRedefine/>
    <w:qFormat/>
    <w:uiPriority w:val="0"/>
    <w:pPr>
      <w:widowControl/>
      <w:spacing w:line="360" w:lineRule="auto"/>
      <w:ind w:firstLine="1940" w:firstLineChars="920"/>
      <w:jc w:val="left"/>
    </w:pPr>
    <w:rPr>
      <w:rFonts w:ascii="宋体" w:hAnsi="宋体" w:eastAsia="宋体" w:cs="Times New Roman"/>
      <w:b/>
      <w:bCs/>
      <w:kern w:val="0"/>
      <w:sz w:val="20"/>
      <w:szCs w:val="20"/>
    </w:rPr>
  </w:style>
  <w:style w:type="paragraph" w:styleId="16">
    <w:name w:val="List Bullet"/>
    <w:basedOn w:val="1"/>
    <w:autoRedefine/>
    <w:qFormat/>
    <w:uiPriority w:val="0"/>
    <w:pPr>
      <w:numPr>
        <w:ilvl w:val="0"/>
        <w:numId w:val="1"/>
      </w:numPr>
    </w:pPr>
    <w:rPr>
      <w:rFonts w:ascii="Times New Roman" w:hAnsi="Times New Roman" w:eastAsia="宋体" w:cs="Times New Roman"/>
      <w:szCs w:val="20"/>
    </w:rPr>
  </w:style>
  <w:style w:type="paragraph" w:styleId="17">
    <w:name w:val="Document Map"/>
    <w:basedOn w:val="1"/>
    <w:link w:val="73"/>
    <w:autoRedefine/>
    <w:semiHidden/>
    <w:qFormat/>
    <w:uiPriority w:val="0"/>
    <w:pPr>
      <w:shd w:val="clear" w:color="auto" w:fill="000080"/>
    </w:pPr>
    <w:rPr>
      <w:rFonts w:ascii="Times New Roman" w:hAnsi="Times New Roman" w:eastAsia="宋体" w:cs="Times New Roman"/>
      <w:szCs w:val="24"/>
    </w:rPr>
  </w:style>
  <w:style w:type="paragraph" w:styleId="18">
    <w:name w:val="annotation text"/>
    <w:basedOn w:val="1"/>
    <w:link w:val="74"/>
    <w:autoRedefine/>
    <w:qFormat/>
    <w:uiPriority w:val="0"/>
    <w:pPr>
      <w:autoSpaceDE w:val="0"/>
      <w:autoSpaceDN w:val="0"/>
      <w:adjustRightInd w:val="0"/>
      <w:jc w:val="left"/>
      <w:textAlignment w:val="baseline"/>
    </w:pPr>
    <w:rPr>
      <w:rFonts w:ascii="宋体" w:hAnsi="Times New Roman" w:eastAsia="宋体" w:cs="Times New Roman"/>
      <w:kern w:val="0"/>
      <w:sz w:val="34"/>
      <w:szCs w:val="20"/>
    </w:rPr>
  </w:style>
  <w:style w:type="paragraph" w:styleId="19">
    <w:name w:val="index 6"/>
    <w:basedOn w:val="1"/>
    <w:next w:val="1"/>
    <w:autoRedefine/>
    <w:qFormat/>
    <w:uiPriority w:val="0"/>
    <w:pPr>
      <w:ind w:left="1000" w:leftChars="1000"/>
    </w:pPr>
    <w:rPr>
      <w:rFonts w:ascii="Times New Roman" w:hAnsi="Times New Roman" w:eastAsia="宋体" w:cs="Times New Roman"/>
      <w:szCs w:val="24"/>
    </w:rPr>
  </w:style>
  <w:style w:type="paragraph" w:styleId="20">
    <w:name w:val="Body Text 3"/>
    <w:basedOn w:val="1"/>
    <w:link w:val="75"/>
    <w:autoRedefine/>
    <w:qFormat/>
    <w:uiPriority w:val="0"/>
    <w:pPr>
      <w:spacing w:after="120"/>
    </w:pPr>
    <w:rPr>
      <w:rFonts w:ascii="Times New Roman" w:hAnsi="Times New Roman" w:eastAsia="宋体" w:cs="Times New Roman"/>
      <w:sz w:val="16"/>
      <w:szCs w:val="16"/>
    </w:rPr>
  </w:style>
  <w:style w:type="paragraph" w:styleId="21">
    <w:name w:val="List Bullet 3"/>
    <w:basedOn w:val="1"/>
    <w:autoRedefine/>
    <w:qFormat/>
    <w:uiPriority w:val="0"/>
    <w:pPr>
      <w:tabs>
        <w:tab w:val="left" w:pos="1200"/>
      </w:tabs>
      <w:ind w:left="1200" w:leftChars="400" w:hanging="360" w:hangingChars="200"/>
    </w:pPr>
    <w:rPr>
      <w:rFonts w:ascii="Times New Roman" w:hAnsi="Times New Roman" w:eastAsia="宋体" w:cs="Times New Roman"/>
      <w:szCs w:val="24"/>
    </w:rPr>
  </w:style>
  <w:style w:type="paragraph" w:styleId="22">
    <w:name w:val="Body Text"/>
    <w:basedOn w:val="1"/>
    <w:link w:val="76"/>
    <w:autoRedefine/>
    <w:qFormat/>
    <w:uiPriority w:val="0"/>
    <w:pPr>
      <w:spacing w:line="360" w:lineRule="auto"/>
    </w:pPr>
    <w:rPr>
      <w:rFonts w:ascii="Times New Roman" w:hAnsi="Times New Roman" w:eastAsia="宋体" w:cs="Times New Roman"/>
      <w:b/>
      <w:bCs/>
      <w:sz w:val="24"/>
      <w:szCs w:val="24"/>
    </w:rPr>
  </w:style>
  <w:style w:type="paragraph" w:styleId="23">
    <w:name w:val="Body Text Indent"/>
    <w:basedOn w:val="1"/>
    <w:link w:val="77"/>
    <w:autoRedefine/>
    <w:qFormat/>
    <w:uiPriority w:val="0"/>
    <w:pPr>
      <w:spacing w:line="360" w:lineRule="auto"/>
      <w:ind w:firstLine="420" w:firstLineChars="200"/>
    </w:pPr>
    <w:rPr>
      <w:rFonts w:ascii="Times New Roman" w:hAnsi="Times New Roman" w:eastAsia="宋体" w:cs="Times New Roman"/>
      <w:szCs w:val="24"/>
    </w:rPr>
  </w:style>
  <w:style w:type="paragraph" w:styleId="24">
    <w:name w:val="List 2"/>
    <w:basedOn w:val="25"/>
    <w:autoRedefine/>
    <w:qFormat/>
    <w:uiPriority w:val="0"/>
    <w:pPr>
      <w:ind w:left="1080"/>
    </w:pPr>
  </w:style>
  <w:style w:type="paragraph" w:styleId="25">
    <w:name w:val="List"/>
    <w:basedOn w:val="22"/>
    <w:autoRedefine/>
    <w:qFormat/>
    <w:uiPriority w:val="0"/>
    <w:pPr>
      <w:spacing w:after="220" w:line="220" w:lineRule="atLeast"/>
      <w:ind w:left="720" w:hanging="360"/>
    </w:pPr>
    <w:rPr>
      <w:b w:val="0"/>
      <w:bCs w:val="0"/>
      <w:sz w:val="21"/>
      <w:szCs w:val="20"/>
    </w:rPr>
  </w:style>
  <w:style w:type="paragraph" w:styleId="26">
    <w:name w:val="Block Text"/>
    <w:basedOn w:val="1"/>
    <w:autoRedefine/>
    <w:qFormat/>
    <w:uiPriority w:val="0"/>
    <w:pPr>
      <w:spacing w:after="120"/>
      <w:ind w:left="1440" w:leftChars="700" w:right="1440" w:rightChars="700"/>
    </w:pPr>
    <w:rPr>
      <w:rFonts w:ascii="Times New Roman" w:hAnsi="Times New Roman" w:eastAsia="宋体" w:cs="Times New Roman"/>
      <w:szCs w:val="24"/>
    </w:rPr>
  </w:style>
  <w:style w:type="paragraph" w:styleId="27">
    <w:name w:val="List Bullet 2"/>
    <w:basedOn w:val="1"/>
    <w:autoRedefine/>
    <w:qFormat/>
    <w:uiPriority w:val="0"/>
    <w:pPr>
      <w:tabs>
        <w:tab w:val="left" w:pos="780"/>
      </w:tabs>
      <w:ind w:left="780" w:leftChars="200" w:hanging="360" w:hangingChars="200"/>
    </w:pPr>
    <w:rPr>
      <w:rFonts w:ascii="Times New Roman" w:hAnsi="Times New Roman" w:eastAsia="宋体" w:cs="Times New Roman"/>
      <w:szCs w:val="24"/>
    </w:rPr>
  </w:style>
  <w:style w:type="paragraph" w:styleId="28">
    <w:name w:val="toc 5"/>
    <w:basedOn w:val="1"/>
    <w:next w:val="1"/>
    <w:autoRedefine/>
    <w:semiHidden/>
    <w:qFormat/>
    <w:uiPriority w:val="0"/>
    <w:pPr>
      <w:ind w:left="840"/>
      <w:jc w:val="left"/>
    </w:pPr>
    <w:rPr>
      <w:rFonts w:ascii="Times New Roman" w:hAnsi="Times New Roman" w:eastAsia="宋体" w:cs="Times New Roman"/>
      <w:szCs w:val="21"/>
    </w:rPr>
  </w:style>
  <w:style w:type="paragraph" w:styleId="29">
    <w:name w:val="toc 3"/>
    <w:basedOn w:val="1"/>
    <w:next w:val="1"/>
    <w:autoRedefine/>
    <w:semiHidden/>
    <w:qFormat/>
    <w:uiPriority w:val="39"/>
    <w:pPr>
      <w:ind w:left="420"/>
      <w:jc w:val="left"/>
    </w:pPr>
    <w:rPr>
      <w:rFonts w:ascii="Times New Roman" w:hAnsi="Times New Roman" w:eastAsia="宋体" w:cs="Times New Roman"/>
      <w:i/>
      <w:iCs/>
      <w:szCs w:val="24"/>
    </w:rPr>
  </w:style>
  <w:style w:type="paragraph" w:styleId="30">
    <w:name w:val="Plain Text"/>
    <w:basedOn w:val="1"/>
    <w:link w:val="78"/>
    <w:autoRedefine/>
    <w:qFormat/>
    <w:uiPriority w:val="0"/>
    <w:rPr>
      <w:rFonts w:ascii="宋体" w:hAnsi="Courier New" w:eastAsia="宋体" w:cs="Times New Roman"/>
      <w:szCs w:val="20"/>
    </w:rPr>
  </w:style>
  <w:style w:type="paragraph" w:styleId="31">
    <w:name w:val="List Bullet 5"/>
    <w:basedOn w:val="1"/>
    <w:autoRedefine/>
    <w:qFormat/>
    <w:uiPriority w:val="0"/>
    <w:pPr>
      <w:tabs>
        <w:tab w:val="left" w:pos="2040"/>
      </w:tabs>
      <w:ind w:left="2040" w:leftChars="800" w:hanging="360" w:hangingChars="200"/>
    </w:pPr>
    <w:rPr>
      <w:rFonts w:ascii="Times New Roman" w:hAnsi="Times New Roman" w:eastAsia="宋体" w:cs="Times New Roman"/>
      <w:szCs w:val="24"/>
    </w:rPr>
  </w:style>
  <w:style w:type="paragraph" w:styleId="32">
    <w:name w:val="toc 8"/>
    <w:basedOn w:val="1"/>
    <w:next w:val="1"/>
    <w:autoRedefine/>
    <w:semiHidden/>
    <w:qFormat/>
    <w:uiPriority w:val="0"/>
    <w:pPr>
      <w:ind w:left="1470"/>
      <w:jc w:val="left"/>
    </w:pPr>
    <w:rPr>
      <w:rFonts w:ascii="Times New Roman" w:hAnsi="Times New Roman" w:eastAsia="宋体" w:cs="Times New Roman"/>
      <w:szCs w:val="21"/>
    </w:rPr>
  </w:style>
  <w:style w:type="paragraph" w:styleId="33">
    <w:name w:val="Date"/>
    <w:basedOn w:val="1"/>
    <w:next w:val="1"/>
    <w:link w:val="79"/>
    <w:autoRedefine/>
    <w:qFormat/>
    <w:uiPriority w:val="0"/>
    <w:rPr>
      <w:rFonts w:ascii="宋体" w:hAnsi="Courier New" w:eastAsia="宋体" w:cs="Times New Roman"/>
      <w:sz w:val="32"/>
      <w:szCs w:val="20"/>
    </w:rPr>
  </w:style>
  <w:style w:type="paragraph" w:styleId="34">
    <w:name w:val="Body Text Indent 2"/>
    <w:basedOn w:val="1"/>
    <w:link w:val="80"/>
    <w:autoRedefine/>
    <w:qFormat/>
    <w:uiPriority w:val="0"/>
    <w:pPr>
      <w:spacing w:beforeLines="50" w:afterLines="50" w:line="120" w:lineRule="auto"/>
      <w:ind w:firstLine="840" w:firstLineChars="400"/>
      <w:jc w:val="left"/>
    </w:pPr>
    <w:rPr>
      <w:rFonts w:ascii="宋体" w:hAnsi="宋体" w:eastAsia="宋体" w:cs="Times New Roman"/>
      <w:szCs w:val="24"/>
    </w:rPr>
  </w:style>
  <w:style w:type="paragraph" w:styleId="35">
    <w:name w:val="Balloon Text"/>
    <w:basedOn w:val="1"/>
    <w:link w:val="81"/>
    <w:autoRedefine/>
    <w:qFormat/>
    <w:uiPriority w:val="0"/>
    <w:rPr>
      <w:rFonts w:ascii="Times New Roman" w:hAnsi="Times New Roman" w:eastAsia="宋体" w:cs="Times New Roman"/>
      <w:sz w:val="18"/>
      <w:szCs w:val="18"/>
    </w:rPr>
  </w:style>
  <w:style w:type="paragraph" w:styleId="36">
    <w:name w:val="footer"/>
    <w:basedOn w:val="1"/>
    <w:link w:val="82"/>
    <w:autoRedefine/>
    <w:qFormat/>
    <w:uiPriority w:val="0"/>
    <w:pPr>
      <w:tabs>
        <w:tab w:val="center" w:pos="4153"/>
        <w:tab w:val="right" w:pos="8306"/>
      </w:tabs>
      <w:snapToGrid w:val="0"/>
      <w:jc w:val="left"/>
    </w:pPr>
    <w:rPr>
      <w:rFonts w:ascii="Times New Roman" w:hAnsi="Times New Roman" w:eastAsia="宋体" w:cs="Times New Roman"/>
      <w:sz w:val="18"/>
      <w:szCs w:val="18"/>
    </w:rPr>
  </w:style>
  <w:style w:type="paragraph" w:styleId="37">
    <w:name w:val="header"/>
    <w:basedOn w:val="1"/>
    <w:link w:val="83"/>
    <w:autoRedefine/>
    <w:qFormat/>
    <w:uiPriority w:val="0"/>
    <w:pPr>
      <w:pBdr>
        <w:bottom w:val="single" w:color="auto" w:sz="6" w:space="1"/>
      </w:pBdr>
      <w:tabs>
        <w:tab w:val="center" w:pos="4153"/>
        <w:tab w:val="right" w:pos="8306"/>
      </w:tabs>
      <w:snapToGrid w:val="0"/>
      <w:jc w:val="center"/>
    </w:pPr>
    <w:rPr>
      <w:rFonts w:ascii="Times New Roman" w:hAnsi="Times New Roman" w:eastAsia="宋体" w:cs="Times New Roman"/>
      <w:sz w:val="18"/>
      <w:szCs w:val="18"/>
    </w:rPr>
  </w:style>
  <w:style w:type="paragraph" w:styleId="38">
    <w:name w:val="toc 1"/>
    <w:basedOn w:val="1"/>
    <w:next w:val="1"/>
    <w:autoRedefine/>
    <w:semiHidden/>
    <w:qFormat/>
    <w:uiPriority w:val="0"/>
    <w:pPr>
      <w:spacing w:before="120" w:after="120"/>
      <w:jc w:val="left"/>
    </w:pPr>
    <w:rPr>
      <w:rFonts w:ascii="Times New Roman" w:hAnsi="Times New Roman" w:eastAsia="宋体" w:cs="Times New Roman"/>
      <w:b/>
      <w:bCs/>
      <w:caps/>
      <w:szCs w:val="24"/>
    </w:rPr>
  </w:style>
  <w:style w:type="paragraph" w:styleId="39">
    <w:name w:val="toc 4"/>
    <w:basedOn w:val="1"/>
    <w:next w:val="1"/>
    <w:autoRedefine/>
    <w:semiHidden/>
    <w:qFormat/>
    <w:uiPriority w:val="0"/>
    <w:pPr>
      <w:ind w:left="630"/>
      <w:jc w:val="left"/>
    </w:pPr>
    <w:rPr>
      <w:rFonts w:ascii="Times New Roman" w:hAnsi="Times New Roman" w:eastAsia="宋体" w:cs="Times New Roman"/>
      <w:szCs w:val="21"/>
    </w:rPr>
  </w:style>
  <w:style w:type="paragraph" w:styleId="40">
    <w:name w:val="index heading"/>
    <w:basedOn w:val="1"/>
    <w:next w:val="41"/>
    <w:autoRedefine/>
    <w:qFormat/>
    <w:uiPriority w:val="0"/>
    <w:rPr>
      <w:rFonts w:ascii="Times New Roman" w:hAnsi="Times New Roman" w:eastAsia="宋体" w:cs="Times New Roman"/>
      <w:szCs w:val="24"/>
    </w:rPr>
  </w:style>
  <w:style w:type="paragraph" w:styleId="41">
    <w:name w:val="index 1"/>
    <w:basedOn w:val="1"/>
    <w:next w:val="1"/>
    <w:autoRedefine/>
    <w:qFormat/>
    <w:uiPriority w:val="0"/>
    <w:pPr>
      <w:tabs>
        <w:tab w:val="left" w:pos="3360"/>
      </w:tabs>
      <w:spacing w:line="520" w:lineRule="exact"/>
      <w:ind w:left="419" w:leftChars="50" w:hanging="314" w:hangingChars="131"/>
      <w:jc w:val="center"/>
      <w:outlineLvl w:val="3"/>
    </w:pPr>
    <w:rPr>
      <w:rFonts w:ascii="宋体" w:hAnsi="宋体" w:eastAsia="宋体" w:cs="Times New Roman"/>
      <w:sz w:val="24"/>
      <w:szCs w:val="24"/>
    </w:rPr>
  </w:style>
  <w:style w:type="paragraph" w:styleId="42">
    <w:name w:val="toc 6"/>
    <w:basedOn w:val="1"/>
    <w:next w:val="1"/>
    <w:autoRedefine/>
    <w:semiHidden/>
    <w:qFormat/>
    <w:uiPriority w:val="0"/>
    <w:pPr>
      <w:ind w:left="1050"/>
      <w:jc w:val="left"/>
    </w:pPr>
    <w:rPr>
      <w:rFonts w:ascii="Times New Roman" w:hAnsi="Times New Roman" w:eastAsia="宋体" w:cs="Times New Roman"/>
      <w:szCs w:val="21"/>
    </w:rPr>
  </w:style>
  <w:style w:type="paragraph" w:styleId="43">
    <w:name w:val="Body Text Indent 3"/>
    <w:basedOn w:val="1"/>
    <w:link w:val="84"/>
    <w:autoRedefine/>
    <w:qFormat/>
    <w:uiPriority w:val="0"/>
    <w:pPr>
      <w:spacing w:line="360" w:lineRule="auto"/>
      <w:ind w:firstLine="482" w:firstLineChars="200"/>
    </w:pPr>
    <w:rPr>
      <w:rFonts w:ascii="宋体" w:hAnsi="Times New Roman" w:eastAsia="宋体" w:cs="Times New Roman"/>
      <w:b/>
      <w:bCs/>
      <w:sz w:val="24"/>
      <w:szCs w:val="24"/>
    </w:rPr>
  </w:style>
  <w:style w:type="paragraph" w:styleId="44">
    <w:name w:val="toc 2"/>
    <w:basedOn w:val="1"/>
    <w:next w:val="1"/>
    <w:autoRedefine/>
    <w:semiHidden/>
    <w:qFormat/>
    <w:uiPriority w:val="0"/>
    <w:pPr>
      <w:tabs>
        <w:tab w:val="right" w:leader="dot" w:pos="8296"/>
      </w:tabs>
      <w:ind w:left="210"/>
      <w:jc w:val="left"/>
    </w:pPr>
    <w:rPr>
      <w:rFonts w:ascii="Times New Roman" w:hAnsi="Times New Roman" w:eastAsia="宋体" w:cs="Times New Roman"/>
      <w:smallCaps/>
      <w:szCs w:val="24"/>
    </w:rPr>
  </w:style>
  <w:style w:type="paragraph" w:styleId="45">
    <w:name w:val="toc 9"/>
    <w:basedOn w:val="1"/>
    <w:next w:val="1"/>
    <w:autoRedefine/>
    <w:semiHidden/>
    <w:qFormat/>
    <w:uiPriority w:val="0"/>
    <w:pPr>
      <w:ind w:left="1680"/>
      <w:jc w:val="left"/>
    </w:pPr>
    <w:rPr>
      <w:rFonts w:ascii="Times New Roman" w:hAnsi="Times New Roman" w:eastAsia="宋体" w:cs="Times New Roman"/>
      <w:szCs w:val="21"/>
    </w:rPr>
  </w:style>
  <w:style w:type="paragraph" w:styleId="46">
    <w:name w:val="Body Text 2"/>
    <w:basedOn w:val="1"/>
    <w:link w:val="85"/>
    <w:autoRedefine/>
    <w:qFormat/>
    <w:uiPriority w:val="0"/>
    <w:pPr>
      <w:spacing w:line="360" w:lineRule="auto"/>
    </w:pPr>
    <w:rPr>
      <w:rFonts w:ascii="Times New Roman" w:hAnsi="Times New Roman" w:eastAsia="宋体" w:cs="Times New Roman"/>
      <w:sz w:val="24"/>
      <w:szCs w:val="24"/>
    </w:rPr>
  </w:style>
  <w:style w:type="paragraph" w:styleId="47">
    <w:name w:val="HTML Preformatted"/>
    <w:basedOn w:val="1"/>
    <w:link w:val="86"/>
    <w:autoRedefine/>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hAnsi="Arial Unicode MS" w:eastAsia="Arial Unicode MS" w:cs="Times New Roman"/>
      <w:color w:val="000000"/>
      <w:kern w:val="0"/>
      <w:sz w:val="20"/>
      <w:szCs w:val="20"/>
    </w:rPr>
  </w:style>
  <w:style w:type="paragraph" w:styleId="48">
    <w:name w:val="Normal (Web)"/>
    <w:basedOn w:val="1"/>
    <w:autoRedefine/>
    <w:qFormat/>
    <w:uiPriority w:val="99"/>
    <w:rPr>
      <w:rFonts w:ascii="Times New Roman" w:hAnsi="Times New Roman" w:eastAsia="宋体" w:cs="Times New Roman"/>
      <w:sz w:val="24"/>
      <w:szCs w:val="24"/>
    </w:rPr>
  </w:style>
  <w:style w:type="paragraph" w:styleId="49">
    <w:name w:val="index 2"/>
    <w:basedOn w:val="1"/>
    <w:next w:val="1"/>
    <w:autoRedefine/>
    <w:qFormat/>
    <w:uiPriority w:val="0"/>
    <w:pPr>
      <w:adjustRightInd w:val="0"/>
      <w:spacing w:line="315" w:lineRule="atLeast"/>
      <w:ind w:left="420"/>
      <w:jc w:val="left"/>
      <w:textAlignment w:val="baseline"/>
    </w:pPr>
    <w:rPr>
      <w:rFonts w:ascii="宋体" w:hAnsi="Times New Roman" w:eastAsia="宋体" w:cs="Times New Roman"/>
      <w:kern w:val="0"/>
      <w:szCs w:val="24"/>
    </w:rPr>
  </w:style>
  <w:style w:type="paragraph" w:styleId="50">
    <w:name w:val="Title"/>
    <w:basedOn w:val="1"/>
    <w:link w:val="87"/>
    <w:autoRedefine/>
    <w:qFormat/>
    <w:uiPriority w:val="0"/>
    <w:pPr>
      <w:spacing w:before="240" w:after="60"/>
      <w:jc w:val="center"/>
      <w:outlineLvl w:val="0"/>
    </w:pPr>
    <w:rPr>
      <w:rFonts w:ascii="Arial" w:hAnsi="Arial" w:eastAsia="隶书" w:cs="Arial"/>
      <w:b/>
      <w:bCs/>
      <w:sz w:val="32"/>
      <w:szCs w:val="32"/>
    </w:rPr>
  </w:style>
  <w:style w:type="paragraph" w:styleId="51">
    <w:name w:val="annotation subject"/>
    <w:basedOn w:val="18"/>
    <w:next w:val="18"/>
    <w:link w:val="88"/>
    <w:autoRedefine/>
    <w:qFormat/>
    <w:uiPriority w:val="0"/>
    <w:pPr>
      <w:autoSpaceDE/>
      <w:autoSpaceDN/>
      <w:adjustRightInd/>
      <w:textAlignment w:val="auto"/>
    </w:pPr>
    <w:rPr>
      <w:b/>
      <w:bCs/>
      <w:kern w:val="2"/>
      <w:sz w:val="21"/>
      <w:szCs w:val="24"/>
    </w:rPr>
  </w:style>
  <w:style w:type="paragraph" w:styleId="52">
    <w:name w:val="Body Text First Indent"/>
    <w:basedOn w:val="22"/>
    <w:link w:val="89"/>
    <w:autoRedefine/>
    <w:qFormat/>
    <w:uiPriority w:val="0"/>
    <w:pPr>
      <w:spacing w:after="120" w:line="240" w:lineRule="auto"/>
      <w:ind w:firstLine="420" w:firstLineChars="100"/>
    </w:pPr>
    <w:rPr>
      <w:sz w:val="21"/>
    </w:rPr>
  </w:style>
  <w:style w:type="paragraph" w:styleId="53">
    <w:name w:val="Body Text First Indent 2"/>
    <w:basedOn w:val="23"/>
    <w:link w:val="234"/>
    <w:qFormat/>
    <w:uiPriority w:val="0"/>
    <w:pPr>
      <w:spacing w:after="120" w:line="240" w:lineRule="auto"/>
      <w:ind w:left="420" w:firstLine="210" w:firstLineChars="0"/>
    </w:pPr>
    <w:rPr>
      <w:szCs w:val="20"/>
    </w:rPr>
  </w:style>
  <w:style w:type="table" w:styleId="55">
    <w:name w:val="Table Grid"/>
    <w:basedOn w:val="54"/>
    <w:autoRedefine/>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57">
    <w:name w:val="Strong"/>
    <w:autoRedefine/>
    <w:qFormat/>
    <w:uiPriority w:val="0"/>
    <w:rPr>
      <w:b/>
      <w:bCs/>
    </w:rPr>
  </w:style>
  <w:style w:type="character" w:styleId="58">
    <w:name w:val="page number"/>
    <w:basedOn w:val="56"/>
    <w:autoRedefine/>
    <w:qFormat/>
    <w:uiPriority w:val="0"/>
  </w:style>
  <w:style w:type="character" w:styleId="59">
    <w:name w:val="FollowedHyperlink"/>
    <w:basedOn w:val="56"/>
    <w:unhideWhenUsed/>
    <w:qFormat/>
    <w:uiPriority w:val="0"/>
    <w:rPr>
      <w:color w:val="954F72" w:themeColor="followedHyperlink"/>
      <w:u w:val="single"/>
      <w14:textFill>
        <w14:solidFill>
          <w14:schemeClr w14:val="folHlink"/>
        </w14:solidFill>
      </w14:textFill>
    </w:rPr>
  </w:style>
  <w:style w:type="character" w:styleId="60">
    <w:name w:val="Emphasis"/>
    <w:qFormat/>
    <w:uiPriority w:val="0"/>
    <w:rPr>
      <w:color w:val="CC0000"/>
    </w:rPr>
  </w:style>
  <w:style w:type="character" w:styleId="61">
    <w:name w:val="Hyperlink"/>
    <w:autoRedefine/>
    <w:qFormat/>
    <w:uiPriority w:val="0"/>
    <w:rPr>
      <w:color w:val="0000FF"/>
      <w:u w:val="single"/>
    </w:rPr>
  </w:style>
  <w:style w:type="character" w:styleId="62">
    <w:name w:val="annotation reference"/>
    <w:qFormat/>
    <w:uiPriority w:val="0"/>
    <w:rPr>
      <w:sz w:val="21"/>
      <w:szCs w:val="21"/>
    </w:rPr>
  </w:style>
  <w:style w:type="character" w:customStyle="1" w:styleId="63">
    <w:name w:val="标题 4 字符1"/>
    <w:link w:val="4"/>
    <w:autoRedefine/>
    <w:qFormat/>
    <w:uiPriority w:val="0"/>
    <w:rPr>
      <w:rFonts w:ascii="Arial" w:hAnsi="Arial" w:eastAsia="黑体" w:cs="Times New Roman"/>
      <w:b/>
      <w:bCs/>
      <w:sz w:val="28"/>
      <w:szCs w:val="28"/>
    </w:rPr>
  </w:style>
  <w:style w:type="character" w:customStyle="1" w:styleId="64">
    <w:name w:val="标题 3 字符1"/>
    <w:link w:val="3"/>
    <w:autoRedefine/>
    <w:qFormat/>
    <w:uiPriority w:val="0"/>
    <w:rPr>
      <w:rFonts w:ascii="宋体" w:hAnsi="宋体" w:eastAsia="宋体" w:cs="Times New Roman"/>
      <w:b/>
      <w:bCs/>
      <w:sz w:val="28"/>
      <w:szCs w:val="32"/>
    </w:rPr>
  </w:style>
  <w:style w:type="character" w:customStyle="1" w:styleId="65">
    <w:name w:val="标题 1 字符1"/>
    <w:link w:val="2"/>
    <w:autoRedefine/>
    <w:qFormat/>
    <w:uiPriority w:val="0"/>
    <w:rPr>
      <w:rFonts w:ascii="宋体" w:hAnsi="宋体" w:eastAsia="黑体" w:cs="Times New Roman"/>
      <w:b/>
      <w:bCs/>
      <w:kern w:val="44"/>
      <w:sz w:val="28"/>
      <w:szCs w:val="44"/>
    </w:rPr>
  </w:style>
  <w:style w:type="character" w:customStyle="1" w:styleId="66">
    <w:name w:val="标题 2 字符1"/>
    <w:link w:val="5"/>
    <w:autoRedefine/>
    <w:qFormat/>
    <w:uiPriority w:val="0"/>
    <w:rPr>
      <w:rFonts w:ascii="宋体" w:hAnsi="宋体" w:eastAsia="宋体" w:cs="Times New Roman"/>
      <w:b/>
      <w:bCs/>
      <w:kern w:val="0"/>
      <w:sz w:val="24"/>
      <w:szCs w:val="20"/>
    </w:rPr>
  </w:style>
  <w:style w:type="character" w:customStyle="1" w:styleId="67">
    <w:name w:val="正文缩进 字符"/>
    <w:link w:val="7"/>
    <w:autoRedefine/>
    <w:qFormat/>
    <w:uiPriority w:val="0"/>
    <w:rPr>
      <w:rFonts w:ascii="Times New Roman" w:hAnsi="Times New Roman" w:eastAsia="宋体" w:cs="Times New Roman"/>
      <w:szCs w:val="20"/>
    </w:rPr>
  </w:style>
  <w:style w:type="character" w:customStyle="1" w:styleId="68">
    <w:name w:val="标题 5 字符1"/>
    <w:link w:val="6"/>
    <w:autoRedefine/>
    <w:qFormat/>
    <w:uiPriority w:val="0"/>
    <w:rPr>
      <w:rFonts w:ascii="Times New Roman" w:hAnsi="Times New Roman" w:eastAsia="宋体" w:cs="Times New Roman"/>
      <w:b/>
      <w:sz w:val="28"/>
      <w:szCs w:val="20"/>
    </w:rPr>
  </w:style>
  <w:style w:type="character" w:customStyle="1" w:styleId="69">
    <w:name w:val="标题 6 字符1"/>
    <w:link w:val="8"/>
    <w:autoRedefine/>
    <w:qFormat/>
    <w:uiPriority w:val="0"/>
    <w:rPr>
      <w:rFonts w:ascii="Arial" w:hAnsi="Arial" w:eastAsia="黑体" w:cs="Times New Roman"/>
      <w:b/>
      <w:sz w:val="24"/>
      <w:szCs w:val="20"/>
    </w:rPr>
  </w:style>
  <w:style w:type="character" w:customStyle="1" w:styleId="70">
    <w:name w:val="标题 7 字符1"/>
    <w:link w:val="9"/>
    <w:autoRedefine/>
    <w:qFormat/>
    <w:uiPriority w:val="0"/>
    <w:rPr>
      <w:rFonts w:ascii="Times New Roman" w:hAnsi="Times New Roman" w:eastAsia="宋体" w:cs="Times New Roman"/>
      <w:b/>
      <w:sz w:val="24"/>
      <w:szCs w:val="20"/>
    </w:rPr>
  </w:style>
  <w:style w:type="character" w:customStyle="1" w:styleId="71">
    <w:name w:val="标题 8 字符1"/>
    <w:link w:val="10"/>
    <w:autoRedefine/>
    <w:qFormat/>
    <w:uiPriority w:val="0"/>
    <w:rPr>
      <w:rFonts w:ascii="Arial" w:hAnsi="Arial" w:eastAsia="黑体" w:cs="Times New Roman"/>
      <w:sz w:val="24"/>
      <w:szCs w:val="20"/>
    </w:rPr>
  </w:style>
  <w:style w:type="character" w:customStyle="1" w:styleId="72">
    <w:name w:val="标题 9 字符1"/>
    <w:link w:val="11"/>
    <w:autoRedefine/>
    <w:qFormat/>
    <w:uiPriority w:val="0"/>
    <w:rPr>
      <w:rFonts w:ascii="Arial" w:hAnsi="Arial" w:eastAsia="黑体" w:cs="Times New Roman"/>
      <w:szCs w:val="20"/>
    </w:rPr>
  </w:style>
  <w:style w:type="character" w:customStyle="1" w:styleId="73">
    <w:name w:val="文档结构图 字符"/>
    <w:basedOn w:val="56"/>
    <w:link w:val="17"/>
    <w:autoRedefine/>
    <w:semiHidden/>
    <w:qFormat/>
    <w:uiPriority w:val="0"/>
    <w:rPr>
      <w:rFonts w:ascii="Times New Roman" w:hAnsi="Times New Roman" w:eastAsia="宋体" w:cs="Times New Roman"/>
      <w:szCs w:val="24"/>
      <w:shd w:val="clear" w:color="auto" w:fill="000080"/>
    </w:rPr>
  </w:style>
  <w:style w:type="character" w:customStyle="1" w:styleId="74">
    <w:name w:val="批注文字 字符1"/>
    <w:link w:val="18"/>
    <w:autoRedefine/>
    <w:qFormat/>
    <w:uiPriority w:val="0"/>
    <w:rPr>
      <w:rFonts w:ascii="宋体" w:hAnsi="Times New Roman" w:eastAsia="宋体" w:cs="Times New Roman"/>
      <w:kern w:val="0"/>
      <w:sz w:val="34"/>
      <w:szCs w:val="20"/>
    </w:rPr>
  </w:style>
  <w:style w:type="character" w:customStyle="1" w:styleId="75">
    <w:name w:val="正文文本 3 字符1"/>
    <w:link w:val="20"/>
    <w:autoRedefine/>
    <w:qFormat/>
    <w:uiPriority w:val="0"/>
    <w:rPr>
      <w:rFonts w:ascii="Times New Roman" w:hAnsi="Times New Roman" w:eastAsia="宋体" w:cs="Times New Roman"/>
      <w:sz w:val="16"/>
      <w:szCs w:val="16"/>
    </w:rPr>
  </w:style>
  <w:style w:type="character" w:customStyle="1" w:styleId="76">
    <w:name w:val="正文文本 字符1"/>
    <w:link w:val="22"/>
    <w:autoRedefine/>
    <w:qFormat/>
    <w:uiPriority w:val="0"/>
    <w:rPr>
      <w:rFonts w:ascii="Times New Roman" w:hAnsi="Times New Roman" w:eastAsia="宋体" w:cs="Times New Roman"/>
      <w:b/>
      <w:bCs/>
      <w:sz w:val="24"/>
      <w:szCs w:val="24"/>
    </w:rPr>
  </w:style>
  <w:style w:type="character" w:customStyle="1" w:styleId="77">
    <w:name w:val="正文文本缩进 字符1"/>
    <w:link w:val="23"/>
    <w:autoRedefine/>
    <w:qFormat/>
    <w:uiPriority w:val="0"/>
    <w:rPr>
      <w:rFonts w:ascii="Times New Roman" w:hAnsi="Times New Roman" w:eastAsia="宋体" w:cs="Times New Roman"/>
      <w:szCs w:val="24"/>
    </w:rPr>
  </w:style>
  <w:style w:type="character" w:customStyle="1" w:styleId="78">
    <w:name w:val="纯文本 字符1"/>
    <w:link w:val="30"/>
    <w:autoRedefine/>
    <w:qFormat/>
    <w:uiPriority w:val="0"/>
    <w:rPr>
      <w:rFonts w:ascii="宋体" w:hAnsi="Courier New" w:eastAsia="宋体" w:cs="Times New Roman"/>
      <w:szCs w:val="20"/>
    </w:rPr>
  </w:style>
  <w:style w:type="character" w:customStyle="1" w:styleId="79">
    <w:name w:val="日期 字符1"/>
    <w:link w:val="33"/>
    <w:autoRedefine/>
    <w:qFormat/>
    <w:uiPriority w:val="0"/>
    <w:rPr>
      <w:rFonts w:ascii="宋体" w:hAnsi="Courier New" w:eastAsia="宋体" w:cs="Times New Roman"/>
      <w:sz w:val="32"/>
      <w:szCs w:val="20"/>
    </w:rPr>
  </w:style>
  <w:style w:type="character" w:customStyle="1" w:styleId="80">
    <w:name w:val="正文文本缩进 2 字符1"/>
    <w:link w:val="34"/>
    <w:qFormat/>
    <w:uiPriority w:val="0"/>
    <w:rPr>
      <w:rFonts w:ascii="宋体" w:hAnsi="宋体" w:eastAsia="宋体" w:cs="Times New Roman"/>
      <w:szCs w:val="24"/>
    </w:rPr>
  </w:style>
  <w:style w:type="character" w:customStyle="1" w:styleId="81">
    <w:name w:val="批注框文本 字符1"/>
    <w:link w:val="35"/>
    <w:semiHidden/>
    <w:qFormat/>
    <w:uiPriority w:val="0"/>
    <w:rPr>
      <w:rFonts w:ascii="Times New Roman" w:hAnsi="Times New Roman" w:eastAsia="宋体" w:cs="Times New Roman"/>
      <w:sz w:val="18"/>
      <w:szCs w:val="18"/>
    </w:rPr>
  </w:style>
  <w:style w:type="character" w:customStyle="1" w:styleId="82">
    <w:name w:val="页脚 字符1"/>
    <w:link w:val="36"/>
    <w:qFormat/>
    <w:uiPriority w:val="0"/>
    <w:rPr>
      <w:rFonts w:ascii="Times New Roman" w:hAnsi="Times New Roman" w:eastAsia="宋体" w:cs="Times New Roman"/>
      <w:sz w:val="18"/>
      <w:szCs w:val="18"/>
    </w:rPr>
  </w:style>
  <w:style w:type="character" w:customStyle="1" w:styleId="83">
    <w:name w:val="页眉 字符1"/>
    <w:link w:val="37"/>
    <w:qFormat/>
    <w:uiPriority w:val="0"/>
    <w:rPr>
      <w:rFonts w:ascii="Times New Roman" w:hAnsi="Times New Roman" w:eastAsia="宋体" w:cs="Times New Roman"/>
      <w:sz w:val="18"/>
      <w:szCs w:val="18"/>
    </w:rPr>
  </w:style>
  <w:style w:type="character" w:customStyle="1" w:styleId="84">
    <w:name w:val="正文文本缩进 3 字符1"/>
    <w:link w:val="43"/>
    <w:qFormat/>
    <w:uiPriority w:val="0"/>
    <w:rPr>
      <w:rFonts w:ascii="宋体" w:hAnsi="Times New Roman" w:eastAsia="宋体" w:cs="Times New Roman"/>
      <w:b/>
      <w:bCs/>
      <w:sz w:val="24"/>
      <w:szCs w:val="24"/>
    </w:rPr>
  </w:style>
  <w:style w:type="character" w:customStyle="1" w:styleId="85">
    <w:name w:val="正文文本 2 字符1"/>
    <w:link w:val="46"/>
    <w:qFormat/>
    <w:uiPriority w:val="0"/>
    <w:rPr>
      <w:rFonts w:ascii="Times New Roman" w:hAnsi="Times New Roman" w:eastAsia="宋体" w:cs="Times New Roman"/>
      <w:sz w:val="24"/>
      <w:szCs w:val="24"/>
    </w:rPr>
  </w:style>
  <w:style w:type="character" w:customStyle="1" w:styleId="86">
    <w:name w:val="HTML 预设格式 字符1"/>
    <w:link w:val="47"/>
    <w:qFormat/>
    <w:uiPriority w:val="0"/>
    <w:rPr>
      <w:rFonts w:ascii="Arial Unicode MS" w:hAnsi="Arial Unicode MS" w:eastAsia="Arial Unicode MS" w:cs="Times New Roman"/>
      <w:color w:val="000000"/>
      <w:kern w:val="0"/>
      <w:sz w:val="20"/>
      <w:szCs w:val="20"/>
    </w:rPr>
  </w:style>
  <w:style w:type="character" w:customStyle="1" w:styleId="87">
    <w:name w:val="标题 字符1"/>
    <w:link w:val="50"/>
    <w:qFormat/>
    <w:uiPriority w:val="0"/>
    <w:rPr>
      <w:rFonts w:ascii="Arial" w:hAnsi="Arial" w:eastAsia="隶书" w:cs="Arial"/>
      <w:b/>
      <w:bCs/>
      <w:sz w:val="32"/>
      <w:szCs w:val="32"/>
    </w:rPr>
  </w:style>
  <w:style w:type="character" w:customStyle="1" w:styleId="88">
    <w:name w:val="批注主题 字符1"/>
    <w:link w:val="51"/>
    <w:qFormat/>
    <w:uiPriority w:val="0"/>
    <w:rPr>
      <w:rFonts w:ascii="宋体" w:hAnsi="Times New Roman" w:eastAsia="宋体" w:cs="Times New Roman"/>
      <w:b/>
      <w:bCs/>
      <w:szCs w:val="24"/>
    </w:rPr>
  </w:style>
  <w:style w:type="character" w:customStyle="1" w:styleId="89">
    <w:name w:val="正文文本首行缩进 字符"/>
    <w:link w:val="52"/>
    <w:autoRedefine/>
    <w:qFormat/>
    <w:uiPriority w:val="0"/>
    <w:rPr>
      <w:rFonts w:ascii="Times New Roman" w:hAnsi="Times New Roman" w:eastAsia="宋体" w:cs="Times New Roman"/>
      <w:b/>
      <w:bCs/>
      <w:szCs w:val="24"/>
    </w:rPr>
  </w:style>
  <w:style w:type="character" w:customStyle="1" w:styleId="90">
    <w:name w:val="标题 1 字符"/>
    <w:basedOn w:val="56"/>
    <w:autoRedefine/>
    <w:qFormat/>
    <w:uiPriority w:val="9"/>
    <w:rPr>
      <w:b/>
      <w:bCs/>
      <w:kern w:val="44"/>
      <w:sz w:val="44"/>
      <w:szCs w:val="44"/>
    </w:rPr>
  </w:style>
  <w:style w:type="character" w:customStyle="1" w:styleId="91">
    <w:name w:val="标题 2 字符"/>
    <w:basedOn w:val="56"/>
    <w:autoRedefine/>
    <w:semiHidden/>
    <w:qFormat/>
    <w:uiPriority w:val="9"/>
    <w:rPr>
      <w:rFonts w:asciiTheme="majorHAnsi" w:hAnsiTheme="majorHAnsi" w:eastAsiaTheme="majorEastAsia" w:cstheme="majorBidi"/>
      <w:b/>
      <w:bCs/>
      <w:sz w:val="32"/>
      <w:szCs w:val="32"/>
    </w:rPr>
  </w:style>
  <w:style w:type="character" w:customStyle="1" w:styleId="92">
    <w:name w:val="标题 3 字符"/>
    <w:basedOn w:val="56"/>
    <w:semiHidden/>
    <w:qFormat/>
    <w:uiPriority w:val="9"/>
    <w:rPr>
      <w:b/>
      <w:bCs/>
      <w:sz w:val="32"/>
      <w:szCs w:val="32"/>
    </w:rPr>
  </w:style>
  <w:style w:type="character" w:customStyle="1" w:styleId="93">
    <w:name w:val="标题 4 字符"/>
    <w:basedOn w:val="56"/>
    <w:semiHidden/>
    <w:qFormat/>
    <w:uiPriority w:val="9"/>
    <w:rPr>
      <w:rFonts w:asciiTheme="majorHAnsi" w:hAnsiTheme="majorHAnsi" w:eastAsiaTheme="majorEastAsia" w:cstheme="majorBidi"/>
      <w:b/>
      <w:bCs/>
      <w:sz w:val="28"/>
      <w:szCs w:val="28"/>
    </w:rPr>
  </w:style>
  <w:style w:type="character" w:customStyle="1" w:styleId="94">
    <w:name w:val="标题 5 字符"/>
    <w:basedOn w:val="56"/>
    <w:autoRedefine/>
    <w:semiHidden/>
    <w:qFormat/>
    <w:uiPriority w:val="9"/>
    <w:rPr>
      <w:b/>
      <w:bCs/>
      <w:sz w:val="28"/>
      <w:szCs w:val="28"/>
    </w:rPr>
  </w:style>
  <w:style w:type="character" w:customStyle="1" w:styleId="95">
    <w:name w:val="标题 6 字符"/>
    <w:basedOn w:val="56"/>
    <w:semiHidden/>
    <w:qFormat/>
    <w:uiPriority w:val="9"/>
    <w:rPr>
      <w:rFonts w:asciiTheme="majorHAnsi" w:hAnsiTheme="majorHAnsi" w:eastAsiaTheme="majorEastAsia" w:cstheme="majorBidi"/>
      <w:b/>
      <w:bCs/>
      <w:sz w:val="24"/>
      <w:szCs w:val="24"/>
    </w:rPr>
  </w:style>
  <w:style w:type="character" w:customStyle="1" w:styleId="96">
    <w:name w:val="标题 7 字符"/>
    <w:basedOn w:val="56"/>
    <w:semiHidden/>
    <w:qFormat/>
    <w:uiPriority w:val="9"/>
    <w:rPr>
      <w:b/>
      <w:bCs/>
      <w:sz w:val="24"/>
      <w:szCs w:val="24"/>
    </w:rPr>
  </w:style>
  <w:style w:type="character" w:customStyle="1" w:styleId="97">
    <w:name w:val="标题 8 字符"/>
    <w:basedOn w:val="56"/>
    <w:semiHidden/>
    <w:qFormat/>
    <w:uiPriority w:val="9"/>
    <w:rPr>
      <w:rFonts w:asciiTheme="majorHAnsi" w:hAnsiTheme="majorHAnsi" w:eastAsiaTheme="majorEastAsia" w:cstheme="majorBidi"/>
      <w:sz w:val="24"/>
      <w:szCs w:val="24"/>
    </w:rPr>
  </w:style>
  <w:style w:type="character" w:customStyle="1" w:styleId="98">
    <w:name w:val="标题 9 字符"/>
    <w:basedOn w:val="56"/>
    <w:semiHidden/>
    <w:qFormat/>
    <w:uiPriority w:val="9"/>
    <w:rPr>
      <w:rFonts w:asciiTheme="majorHAnsi" w:hAnsiTheme="majorHAnsi" w:eastAsiaTheme="majorEastAsia" w:cstheme="majorBidi"/>
      <w:szCs w:val="21"/>
    </w:rPr>
  </w:style>
  <w:style w:type="paragraph" w:customStyle="1" w:styleId="99">
    <w:name w:val="Char"/>
    <w:basedOn w:val="1"/>
    <w:qFormat/>
    <w:uiPriority w:val="0"/>
    <w:pPr>
      <w:widowControl/>
      <w:spacing w:after="160" w:line="240" w:lineRule="exact"/>
      <w:jc w:val="left"/>
    </w:pPr>
    <w:rPr>
      <w:rFonts w:ascii="Verdana" w:hAnsi="Verdana" w:eastAsia="仿宋_GB2312" w:cs="Times New Roman"/>
      <w:kern w:val="0"/>
      <w:sz w:val="24"/>
      <w:szCs w:val="20"/>
      <w:lang w:eastAsia="en-US"/>
    </w:rPr>
  </w:style>
  <w:style w:type="character" w:customStyle="1" w:styleId="100">
    <w:name w:val="标题 字符"/>
    <w:basedOn w:val="56"/>
    <w:qFormat/>
    <w:uiPriority w:val="10"/>
    <w:rPr>
      <w:rFonts w:asciiTheme="majorHAnsi" w:hAnsiTheme="majorHAnsi" w:eastAsiaTheme="majorEastAsia" w:cstheme="majorBidi"/>
      <w:b/>
      <w:bCs/>
      <w:sz w:val="32"/>
      <w:szCs w:val="32"/>
    </w:rPr>
  </w:style>
  <w:style w:type="character" w:customStyle="1" w:styleId="101">
    <w:name w:val="日期 字符"/>
    <w:basedOn w:val="56"/>
    <w:semiHidden/>
    <w:qFormat/>
    <w:uiPriority w:val="99"/>
  </w:style>
  <w:style w:type="character" w:customStyle="1" w:styleId="102">
    <w:name w:val="HTML 预设格式 字符"/>
    <w:basedOn w:val="56"/>
    <w:autoRedefine/>
    <w:semiHidden/>
    <w:qFormat/>
    <w:uiPriority w:val="99"/>
    <w:rPr>
      <w:rFonts w:ascii="Courier New" w:hAnsi="Courier New" w:cs="Courier New"/>
      <w:sz w:val="20"/>
      <w:szCs w:val="20"/>
    </w:rPr>
  </w:style>
  <w:style w:type="character" w:customStyle="1" w:styleId="103">
    <w:name w:val="纯文本 字符"/>
    <w:basedOn w:val="56"/>
    <w:semiHidden/>
    <w:qFormat/>
    <w:uiPriority w:val="99"/>
    <w:rPr>
      <w:rFonts w:hAnsi="Courier New" w:cs="Courier New" w:asciiTheme="minorEastAsia"/>
    </w:rPr>
  </w:style>
  <w:style w:type="character" w:customStyle="1" w:styleId="104">
    <w:name w:val="正文文本缩进 字符"/>
    <w:basedOn w:val="56"/>
    <w:semiHidden/>
    <w:qFormat/>
    <w:uiPriority w:val="99"/>
  </w:style>
  <w:style w:type="character" w:customStyle="1" w:styleId="105">
    <w:name w:val="正文文本 字符"/>
    <w:basedOn w:val="56"/>
    <w:autoRedefine/>
    <w:semiHidden/>
    <w:qFormat/>
    <w:uiPriority w:val="99"/>
  </w:style>
  <w:style w:type="character" w:customStyle="1" w:styleId="106">
    <w:name w:val="正文文本缩进 2 字符"/>
    <w:basedOn w:val="56"/>
    <w:semiHidden/>
    <w:qFormat/>
    <w:uiPriority w:val="99"/>
  </w:style>
  <w:style w:type="character" w:customStyle="1" w:styleId="107">
    <w:name w:val="页眉 字符"/>
    <w:basedOn w:val="56"/>
    <w:semiHidden/>
    <w:qFormat/>
    <w:uiPriority w:val="99"/>
    <w:rPr>
      <w:sz w:val="18"/>
      <w:szCs w:val="18"/>
    </w:rPr>
  </w:style>
  <w:style w:type="character" w:customStyle="1" w:styleId="108">
    <w:name w:val="批注文字 字符"/>
    <w:basedOn w:val="56"/>
    <w:autoRedefine/>
    <w:semiHidden/>
    <w:qFormat/>
    <w:uiPriority w:val="99"/>
  </w:style>
  <w:style w:type="character" w:customStyle="1" w:styleId="109">
    <w:name w:val="正文文本缩进 3 字符"/>
    <w:basedOn w:val="56"/>
    <w:semiHidden/>
    <w:qFormat/>
    <w:uiPriority w:val="99"/>
    <w:rPr>
      <w:sz w:val="16"/>
      <w:szCs w:val="16"/>
    </w:rPr>
  </w:style>
  <w:style w:type="character" w:customStyle="1" w:styleId="110">
    <w:name w:val="正文文本 2 字符"/>
    <w:basedOn w:val="56"/>
    <w:semiHidden/>
    <w:qFormat/>
    <w:uiPriority w:val="99"/>
  </w:style>
  <w:style w:type="character" w:customStyle="1" w:styleId="111">
    <w:name w:val="页脚 字符"/>
    <w:basedOn w:val="56"/>
    <w:autoRedefine/>
    <w:semiHidden/>
    <w:qFormat/>
    <w:uiPriority w:val="99"/>
    <w:rPr>
      <w:sz w:val="18"/>
      <w:szCs w:val="18"/>
    </w:rPr>
  </w:style>
  <w:style w:type="character" w:customStyle="1" w:styleId="112">
    <w:name w:val="已访问的超链接1"/>
    <w:qFormat/>
    <w:uiPriority w:val="0"/>
    <w:rPr>
      <w:color w:val="800080"/>
      <w:u w:val="single"/>
    </w:rPr>
  </w:style>
  <w:style w:type="character" w:customStyle="1" w:styleId="113">
    <w:name w:val="标题 3 Char"/>
    <w:autoRedefine/>
    <w:qFormat/>
    <w:uiPriority w:val="0"/>
    <w:rPr>
      <w:rFonts w:ascii="黑体" w:eastAsia="黑体"/>
      <w:bCs/>
      <w:sz w:val="30"/>
    </w:rPr>
  </w:style>
  <w:style w:type="character" w:customStyle="1" w:styleId="114">
    <w:name w:val="正文文本 3 字符"/>
    <w:basedOn w:val="56"/>
    <w:semiHidden/>
    <w:qFormat/>
    <w:uiPriority w:val="99"/>
    <w:rPr>
      <w:sz w:val="16"/>
      <w:szCs w:val="16"/>
    </w:rPr>
  </w:style>
  <w:style w:type="paragraph" w:customStyle="1" w:styleId="115">
    <w:name w:val="样式41"/>
    <w:basedOn w:val="1"/>
    <w:autoRedefine/>
    <w:qFormat/>
    <w:uiPriority w:val="0"/>
    <w:pPr>
      <w:numPr>
        <w:ilvl w:val="0"/>
        <w:numId w:val="2"/>
      </w:numPr>
      <w:tabs>
        <w:tab w:val="left" w:pos="945"/>
      </w:tabs>
      <w:spacing w:line="360" w:lineRule="auto"/>
    </w:pPr>
    <w:rPr>
      <w:rFonts w:ascii="Times New Roman" w:hAnsi="Times New Roman" w:eastAsia="宋体" w:cs="Times New Roman"/>
      <w:b/>
      <w:color w:val="000000"/>
      <w:sz w:val="24"/>
      <w:szCs w:val="20"/>
    </w:rPr>
  </w:style>
  <w:style w:type="paragraph" w:customStyle="1" w:styleId="116">
    <w:name w:val="图"/>
    <w:basedOn w:val="1"/>
    <w:autoRedefine/>
    <w:qFormat/>
    <w:uiPriority w:val="0"/>
    <w:pPr>
      <w:keepNext/>
      <w:adjustRightInd w:val="0"/>
      <w:snapToGrid w:val="0"/>
      <w:spacing w:before="60" w:after="60" w:line="300" w:lineRule="auto"/>
      <w:jc w:val="center"/>
    </w:pPr>
    <w:rPr>
      <w:rFonts w:ascii="Times New Roman" w:hAnsi="Times New Roman" w:eastAsia="宋体" w:cs="Times New Roman"/>
      <w:spacing w:val="20"/>
      <w:kern w:val="0"/>
      <w:sz w:val="24"/>
      <w:szCs w:val="20"/>
    </w:rPr>
  </w:style>
  <w:style w:type="paragraph" w:customStyle="1" w:styleId="117">
    <w:name w:val="文档正文"/>
    <w:basedOn w:val="1"/>
    <w:autoRedefine/>
    <w:qFormat/>
    <w:uiPriority w:val="0"/>
    <w:pPr>
      <w:adjustRightInd w:val="0"/>
      <w:spacing w:line="480" w:lineRule="atLeast"/>
      <w:ind w:firstLine="567" w:firstLineChars="200"/>
      <w:textAlignment w:val="baseline"/>
    </w:pPr>
    <w:rPr>
      <w:rFonts w:ascii="长城仿宋" w:hAnsi="Times New Roman" w:eastAsia="宋体" w:cs="Times New Roman"/>
      <w:kern w:val="0"/>
      <w:szCs w:val="20"/>
    </w:rPr>
  </w:style>
  <w:style w:type="paragraph" w:customStyle="1" w:styleId="118">
    <w:name w:val="Char Char Char Char"/>
    <w:basedOn w:val="1"/>
    <w:autoRedefine/>
    <w:qFormat/>
    <w:uiPriority w:val="0"/>
    <w:pPr>
      <w:widowControl/>
      <w:spacing w:after="160" w:line="240" w:lineRule="exact"/>
      <w:jc w:val="left"/>
    </w:pPr>
    <w:rPr>
      <w:rFonts w:ascii="Verdana" w:hAnsi="Verdana" w:eastAsia="仿宋_GB2312" w:cs="Times New Roman"/>
      <w:kern w:val="0"/>
      <w:sz w:val="24"/>
      <w:szCs w:val="20"/>
      <w:lang w:eastAsia="en-US"/>
    </w:rPr>
  </w:style>
  <w:style w:type="paragraph" w:customStyle="1" w:styleId="119">
    <w:name w:val="Char3"/>
    <w:basedOn w:val="1"/>
    <w:autoRedefine/>
    <w:qFormat/>
    <w:uiPriority w:val="0"/>
    <w:pPr>
      <w:widowControl/>
      <w:spacing w:after="160" w:line="240" w:lineRule="exact"/>
      <w:jc w:val="left"/>
    </w:pPr>
    <w:rPr>
      <w:rFonts w:ascii="Verdana" w:hAnsi="Verdana" w:eastAsia="仿宋_GB2312" w:cs="Times New Roman"/>
      <w:kern w:val="0"/>
      <w:sz w:val="24"/>
      <w:szCs w:val="20"/>
      <w:lang w:eastAsia="en-US"/>
    </w:rPr>
  </w:style>
  <w:style w:type="paragraph" w:customStyle="1" w:styleId="120">
    <w:name w:val="Char Char Char Char1"/>
    <w:basedOn w:val="1"/>
    <w:qFormat/>
    <w:uiPriority w:val="0"/>
    <w:pPr>
      <w:widowControl/>
      <w:spacing w:after="160" w:line="240" w:lineRule="exact"/>
      <w:jc w:val="left"/>
    </w:pPr>
    <w:rPr>
      <w:rFonts w:ascii="Verdana" w:hAnsi="Verdana" w:eastAsia="仿宋_GB2312" w:cs="Times New Roman"/>
      <w:kern w:val="0"/>
      <w:sz w:val="24"/>
      <w:szCs w:val="20"/>
      <w:lang w:eastAsia="en-US"/>
    </w:rPr>
  </w:style>
  <w:style w:type="paragraph" w:customStyle="1" w:styleId="121">
    <w:name w:val="Table Contents"/>
    <w:basedOn w:val="1"/>
    <w:qFormat/>
    <w:uiPriority w:val="0"/>
    <w:pPr>
      <w:suppressAutoHyphens/>
      <w:autoSpaceDE w:val="0"/>
      <w:spacing w:after="120"/>
      <w:jc w:val="left"/>
    </w:pPr>
    <w:rPr>
      <w:rFonts w:ascii="Helvetica" w:hAnsi="Helvetica" w:eastAsia="宋体" w:cs="Times New Roman"/>
      <w:kern w:val="1"/>
      <w:sz w:val="20"/>
      <w:szCs w:val="20"/>
    </w:rPr>
  </w:style>
  <w:style w:type="paragraph" w:customStyle="1" w:styleId="122">
    <w:name w:val="自定义正文"/>
    <w:basedOn w:val="1"/>
    <w:qFormat/>
    <w:uiPriority w:val="0"/>
    <w:pPr>
      <w:spacing w:afterLines="50"/>
      <w:ind w:left="600" w:leftChars="600"/>
    </w:pPr>
    <w:rPr>
      <w:rFonts w:ascii="Times New Roman" w:hAnsi="Times New Roman" w:eastAsia="宋体" w:cs="Times New Roman"/>
      <w:szCs w:val="24"/>
    </w:rPr>
  </w:style>
  <w:style w:type="paragraph" w:customStyle="1" w:styleId="123">
    <w:name w:val="Char Char Char Char Char"/>
    <w:basedOn w:val="1"/>
    <w:qFormat/>
    <w:uiPriority w:val="0"/>
    <w:rPr>
      <w:rFonts w:ascii="Tahoma" w:hAnsi="Tahoma" w:eastAsia="宋体" w:cs="Times New Roman"/>
      <w:sz w:val="24"/>
      <w:szCs w:val="20"/>
    </w:rPr>
  </w:style>
  <w:style w:type="paragraph" w:customStyle="1" w:styleId="124">
    <w:name w:val="小标题 1"/>
    <w:basedOn w:val="1"/>
    <w:qFormat/>
    <w:uiPriority w:val="0"/>
    <w:pPr>
      <w:autoSpaceDE w:val="0"/>
      <w:autoSpaceDN w:val="0"/>
      <w:adjustRightInd w:val="0"/>
      <w:spacing w:line="360" w:lineRule="atLeast"/>
    </w:pPr>
    <w:rPr>
      <w:rFonts w:ascii="文鼎粗黑" w:hAnsi="Times New Roman" w:eastAsia="文鼎粗黑" w:cs="Times New Roman"/>
      <w:kern w:val="0"/>
      <w:sz w:val="22"/>
      <w:szCs w:val="20"/>
    </w:rPr>
  </w:style>
  <w:style w:type="paragraph" w:customStyle="1" w:styleId="125">
    <w:name w:val="Char Char"/>
    <w:basedOn w:val="1"/>
    <w:autoRedefine/>
    <w:qFormat/>
    <w:uiPriority w:val="0"/>
    <w:rPr>
      <w:rFonts w:ascii="Tahoma" w:hAnsi="Tahoma" w:eastAsia="宋体" w:cs="Times New Roman"/>
      <w:sz w:val="24"/>
      <w:szCs w:val="20"/>
    </w:rPr>
  </w:style>
  <w:style w:type="paragraph" w:customStyle="1" w:styleId="126">
    <w:name w:val="È±Ê¡ÎÄ±¾"/>
    <w:basedOn w:val="1"/>
    <w:autoRedefine/>
    <w:qFormat/>
    <w:uiPriority w:val="0"/>
    <w:pPr>
      <w:widowControl/>
      <w:overflowPunct w:val="0"/>
      <w:autoSpaceDE w:val="0"/>
      <w:autoSpaceDN w:val="0"/>
      <w:adjustRightInd w:val="0"/>
      <w:jc w:val="left"/>
      <w:textAlignment w:val="baseline"/>
    </w:pPr>
    <w:rPr>
      <w:rFonts w:ascii="Times New Roman" w:hAnsi="Times New Roman" w:eastAsia="宋体" w:cs="Times New Roman"/>
      <w:kern w:val="0"/>
      <w:sz w:val="24"/>
      <w:szCs w:val="20"/>
    </w:rPr>
  </w:style>
  <w:style w:type="paragraph" w:customStyle="1" w:styleId="127">
    <w:name w:val="Char Char Char Char Char Char1 Char"/>
    <w:basedOn w:val="1"/>
    <w:qFormat/>
    <w:uiPriority w:val="0"/>
    <w:pPr>
      <w:widowControl/>
      <w:spacing w:after="160" w:line="240" w:lineRule="exact"/>
      <w:jc w:val="left"/>
    </w:pPr>
    <w:rPr>
      <w:rFonts w:ascii="Verdana" w:hAnsi="Verdana" w:eastAsia="宋体" w:cs="Times New Roman"/>
      <w:kern w:val="0"/>
      <w:szCs w:val="20"/>
      <w:lang w:eastAsia="en-US"/>
    </w:rPr>
  </w:style>
  <w:style w:type="paragraph" w:styleId="128">
    <w:name w:val="List Paragraph"/>
    <w:basedOn w:val="1"/>
    <w:link w:val="129"/>
    <w:autoRedefine/>
    <w:qFormat/>
    <w:uiPriority w:val="0"/>
    <w:pPr>
      <w:ind w:firstLine="420" w:firstLineChars="200"/>
    </w:pPr>
    <w:rPr>
      <w:rFonts w:ascii="Calibri" w:hAnsi="Calibri" w:eastAsia="宋体" w:cs="Times New Roman"/>
    </w:rPr>
  </w:style>
  <w:style w:type="character" w:customStyle="1" w:styleId="129">
    <w:name w:val="列表段落 字符"/>
    <w:link w:val="128"/>
    <w:autoRedefine/>
    <w:qFormat/>
    <w:locked/>
    <w:uiPriority w:val="34"/>
    <w:rPr>
      <w:rFonts w:ascii="Calibri" w:hAnsi="Calibri" w:eastAsia="宋体" w:cs="Times New Roman"/>
    </w:rPr>
  </w:style>
  <w:style w:type="paragraph" w:customStyle="1" w:styleId="130">
    <w:name w:val="USE 1"/>
    <w:basedOn w:val="1"/>
    <w:autoRedefine/>
    <w:qFormat/>
    <w:uiPriority w:val="0"/>
    <w:pPr>
      <w:spacing w:line="200" w:lineRule="atLeast"/>
      <w:jc w:val="left"/>
    </w:pPr>
    <w:rPr>
      <w:rFonts w:ascii="宋体" w:hAnsi="宋体" w:eastAsia="宋体" w:cs="Times New Roman"/>
      <w:b/>
      <w:sz w:val="24"/>
      <w:szCs w:val="28"/>
    </w:rPr>
  </w:style>
  <w:style w:type="paragraph" w:customStyle="1" w:styleId="131">
    <w:name w:val="RFI text from 3rd Level"/>
    <w:basedOn w:val="1"/>
    <w:autoRedefine/>
    <w:qFormat/>
    <w:uiPriority w:val="0"/>
    <w:pPr>
      <w:widowControl/>
      <w:numPr>
        <w:ilvl w:val="0"/>
        <w:numId w:val="3"/>
      </w:numPr>
      <w:tabs>
        <w:tab w:val="left" w:pos="1080"/>
        <w:tab w:val="clear" w:pos="840"/>
      </w:tabs>
      <w:spacing w:beforeLines="50" w:line="360" w:lineRule="auto"/>
      <w:ind w:left="0" w:firstLine="0"/>
    </w:pPr>
    <w:rPr>
      <w:rFonts w:ascii="Arial (W1)" w:hAnsi="Arial (W1)" w:eastAsia="宋体" w:cs="Times New Roman"/>
      <w:bCs/>
      <w:kern w:val="0"/>
      <w:sz w:val="24"/>
      <w:szCs w:val="24"/>
      <w:lang w:val="en-GB"/>
    </w:rPr>
  </w:style>
  <w:style w:type="paragraph" w:customStyle="1" w:styleId="132">
    <w:name w:val="正文文字缩进项目"/>
    <w:basedOn w:val="23"/>
    <w:autoRedefine/>
    <w:qFormat/>
    <w:uiPriority w:val="0"/>
    <w:pPr>
      <w:numPr>
        <w:ilvl w:val="1"/>
        <w:numId w:val="3"/>
      </w:numPr>
      <w:tabs>
        <w:tab w:val="left" w:pos="840"/>
        <w:tab w:val="clear" w:pos="1260"/>
      </w:tabs>
      <w:spacing w:after="120" w:line="240" w:lineRule="auto"/>
      <w:ind w:left="840" w:firstLine="0" w:firstLineChars="0"/>
    </w:pPr>
    <w:rPr>
      <w:rFonts w:ascii="Tahoma" w:hAnsi="Tahoma"/>
      <w:sz w:val="22"/>
      <w:szCs w:val="20"/>
    </w:rPr>
  </w:style>
  <w:style w:type="paragraph" w:customStyle="1" w:styleId="133">
    <w:name w:val="样式 标题 2 + 段前: 13 磅 段后: 13 磅 行距: 单倍行距"/>
    <w:basedOn w:val="5"/>
    <w:autoRedefine/>
    <w:qFormat/>
    <w:uiPriority w:val="0"/>
    <w:pPr>
      <w:adjustRightInd/>
      <w:spacing w:before="0" w:after="0"/>
      <w:jc w:val="both"/>
      <w:textAlignment w:val="auto"/>
    </w:pPr>
    <w:rPr>
      <w:rFonts w:ascii="Cambria" w:hAnsi="Cambria" w:cs="宋体"/>
      <w:kern w:val="2"/>
      <w:sz w:val="32"/>
    </w:rPr>
  </w:style>
  <w:style w:type="character" w:customStyle="1" w:styleId="134">
    <w:name w:val="H4 Char2"/>
    <w:autoRedefine/>
    <w:qFormat/>
    <w:uiPriority w:val="0"/>
    <w:rPr>
      <w:rFonts w:ascii="Arial" w:hAnsi="Arial" w:eastAsia="黑体"/>
      <w:b/>
      <w:bCs/>
      <w:kern w:val="2"/>
      <w:sz w:val="28"/>
      <w:szCs w:val="28"/>
      <w:lang w:val="en-US" w:eastAsia="zh-CN" w:bidi="ar-SA"/>
    </w:rPr>
  </w:style>
  <w:style w:type="character" w:customStyle="1" w:styleId="135">
    <w:name w:val="第*章 Char"/>
    <w:autoRedefine/>
    <w:qFormat/>
    <w:uiPriority w:val="0"/>
    <w:rPr>
      <w:rFonts w:ascii="Arial" w:hAnsi="Arial" w:eastAsia="黑体"/>
      <w:b/>
      <w:bCs/>
      <w:kern w:val="2"/>
      <w:sz w:val="32"/>
      <w:szCs w:val="32"/>
    </w:rPr>
  </w:style>
  <w:style w:type="character" w:customStyle="1" w:styleId="136">
    <w:name w:val="章标题1 Char"/>
    <w:qFormat/>
    <w:uiPriority w:val="0"/>
    <w:rPr>
      <w:rFonts w:eastAsia="宋体"/>
      <w:b/>
      <w:bCs/>
      <w:kern w:val="2"/>
      <w:sz w:val="32"/>
      <w:szCs w:val="32"/>
      <w:lang w:val="en-US" w:eastAsia="zh-CN" w:bidi="ar-SA"/>
    </w:rPr>
  </w:style>
  <w:style w:type="character" w:customStyle="1" w:styleId="137">
    <w:name w:val="正文文字首行缩进 Char"/>
    <w:qFormat/>
    <w:uiPriority w:val="0"/>
    <w:rPr>
      <w:kern w:val="2"/>
      <w:sz w:val="21"/>
      <w:szCs w:val="24"/>
    </w:rPr>
  </w:style>
  <w:style w:type="character" w:customStyle="1" w:styleId="138">
    <w:name w:val="批注框文本 字符"/>
    <w:basedOn w:val="56"/>
    <w:semiHidden/>
    <w:qFormat/>
    <w:uiPriority w:val="99"/>
    <w:rPr>
      <w:sz w:val="18"/>
      <w:szCs w:val="18"/>
    </w:rPr>
  </w:style>
  <w:style w:type="paragraph" w:customStyle="1" w:styleId="139">
    <w:name w:val="样式1"/>
    <w:basedOn w:val="50"/>
    <w:qFormat/>
    <w:uiPriority w:val="0"/>
    <w:pPr>
      <w:spacing w:before="120" w:after="120"/>
    </w:pPr>
    <w:rPr>
      <w:rFonts w:eastAsia="黑体"/>
      <w:b w:val="0"/>
      <w:sz w:val="30"/>
      <w:szCs w:val="21"/>
    </w:rPr>
  </w:style>
  <w:style w:type="paragraph" w:customStyle="1" w:styleId="140">
    <w:name w:val="样式2"/>
    <w:basedOn w:val="50"/>
    <w:next w:val="139"/>
    <w:autoRedefine/>
    <w:qFormat/>
    <w:uiPriority w:val="0"/>
    <w:pPr>
      <w:spacing w:before="120" w:after="120"/>
    </w:pPr>
    <w:rPr>
      <w:rFonts w:eastAsia="黑体"/>
      <w:b w:val="0"/>
      <w:sz w:val="30"/>
      <w:szCs w:val="30"/>
    </w:rPr>
  </w:style>
  <w:style w:type="character" w:customStyle="1" w:styleId="141">
    <w:name w:val="标题 3 Char Char"/>
    <w:autoRedefine/>
    <w:qFormat/>
    <w:uiPriority w:val="0"/>
    <w:rPr>
      <w:rFonts w:eastAsia="宋体"/>
      <w:b/>
      <w:bCs/>
      <w:kern w:val="2"/>
      <w:sz w:val="32"/>
      <w:szCs w:val="32"/>
      <w:lang w:val="en-US" w:eastAsia="zh-CN" w:bidi="ar-SA"/>
    </w:rPr>
  </w:style>
  <w:style w:type="paragraph" w:customStyle="1" w:styleId="142">
    <w:name w:val="Char Char Char Char Char Char1 Char Char Char Char Char Char Char Char Char Char Char Char Char"/>
    <w:basedOn w:val="1"/>
    <w:autoRedefine/>
    <w:qFormat/>
    <w:uiPriority w:val="0"/>
    <w:pPr>
      <w:widowControl/>
      <w:spacing w:after="160" w:line="240" w:lineRule="exact"/>
      <w:jc w:val="left"/>
    </w:pPr>
    <w:rPr>
      <w:rFonts w:ascii="Arial" w:hAnsi="Arial" w:eastAsia="Times New Roman" w:cs="Verdana"/>
      <w:b/>
      <w:kern w:val="0"/>
      <w:sz w:val="24"/>
      <w:szCs w:val="24"/>
      <w:lang w:eastAsia="en-US"/>
    </w:rPr>
  </w:style>
  <w:style w:type="paragraph" w:customStyle="1" w:styleId="143">
    <w:name w:val="cont"/>
    <w:basedOn w:val="1"/>
    <w:autoRedefine/>
    <w:qFormat/>
    <w:uiPriority w:val="0"/>
    <w:pPr>
      <w:adjustRightInd w:val="0"/>
      <w:spacing w:before="100" w:after="100" w:line="360" w:lineRule="auto"/>
      <w:ind w:firstLine="200" w:firstLineChars="200"/>
      <w:jc w:val="left"/>
      <w:textAlignment w:val="baseline"/>
    </w:pPr>
    <w:rPr>
      <w:rFonts w:ascii="Arial" w:hAnsi="Arial" w:eastAsia="宋体" w:cs="Times New Roman"/>
      <w:kern w:val="0"/>
      <w:sz w:val="24"/>
      <w:szCs w:val="20"/>
    </w:rPr>
  </w:style>
  <w:style w:type="paragraph" w:customStyle="1" w:styleId="144">
    <w:name w:val="--规划正文"/>
    <w:basedOn w:val="1"/>
    <w:qFormat/>
    <w:uiPriority w:val="0"/>
    <w:pPr>
      <w:spacing w:line="360" w:lineRule="auto"/>
      <w:ind w:firstLine="200" w:firstLineChars="200"/>
    </w:pPr>
    <w:rPr>
      <w:rFonts w:ascii="Times New Roman" w:hAnsi="Times New Roman" w:eastAsia="宋体" w:cs="Times New Roman"/>
      <w:szCs w:val="20"/>
    </w:rPr>
  </w:style>
  <w:style w:type="paragraph" w:customStyle="1" w:styleId="145">
    <w:name w:val="设计依据"/>
    <w:basedOn w:val="22"/>
    <w:qFormat/>
    <w:uiPriority w:val="0"/>
    <w:pPr>
      <w:numPr>
        <w:ilvl w:val="1"/>
        <w:numId w:val="4"/>
      </w:numPr>
      <w:tabs>
        <w:tab w:val="left" w:pos="1440"/>
        <w:tab w:val="clear" w:pos="840"/>
      </w:tabs>
      <w:adjustRightInd w:val="0"/>
      <w:ind w:left="1440"/>
      <w:textAlignment w:val="baseline"/>
    </w:pPr>
    <w:rPr>
      <w:rFonts w:ascii="宋体" w:hAnsi="宋体"/>
      <w:b w:val="0"/>
      <w:kern w:val="0"/>
      <w:sz w:val="28"/>
      <w:szCs w:val="18"/>
    </w:rPr>
  </w:style>
  <w:style w:type="paragraph" w:customStyle="1" w:styleId="146">
    <w:name w:val="方案要点"/>
    <w:basedOn w:val="1"/>
    <w:autoRedefine/>
    <w:qFormat/>
    <w:uiPriority w:val="0"/>
    <w:pPr>
      <w:numPr>
        <w:ilvl w:val="0"/>
        <w:numId w:val="4"/>
      </w:numPr>
      <w:spacing w:line="360" w:lineRule="auto"/>
    </w:pPr>
    <w:rPr>
      <w:rFonts w:ascii="仿宋_GB2312" w:hAnsi="宋体" w:eastAsia="仿宋_GB2312" w:cs="Times New Roman"/>
      <w:color w:val="000000"/>
      <w:sz w:val="28"/>
      <w:szCs w:val="28"/>
    </w:rPr>
  </w:style>
  <w:style w:type="paragraph" w:customStyle="1" w:styleId="147">
    <w:name w:val="样式4"/>
    <w:basedOn w:val="1"/>
    <w:qFormat/>
    <w:uiPriority w:val="0"/>
    <w:pPr>
      <w:tabs>
        <w:tab w:val="left" w:pos="842"/>
      </w:tabs>
      <w:spacing w:line="360" w:lineRule="auto"/>
      <w:ind w:left="842" w:hanging="420"/>
    </w:pPr>
    <w:rPr>
      <w:rFonts w:ascii="Times New Roman" w:hAnsi="Times New Roman" w:eastAsia="宋体" w:cs="Times New Roman"/>
      <w:sz w:val="24"/>
      <w:szCs w:val="24"/>
    </w:rPr>
  </w:style>
  <w:style w:type="paragraph" w:customStyle="1" w:styleId="148">
    <w:name w:val="文字"/>
    <w:basedOn w:val="1"/>
    <w:qFormat/>
    <w:uiPriority w:val="0"/>
    <w:pPr>
      <w:tabs>
        <w:tab w:val="left" w:pos="8520"/>
      </w:tabs>
      <w:spacing w:line="312" w:lineRule="auto"/>
      <w:ind w:right="-210" w:firstLine="556"/>
    </w:pPr>
    <w:rPr>
      <w:rFonts w:ascii="宋体" w:hAnsi="Times New Roman" w:eastAsia="宋体" w:cs="Times New Roman"/>
      <w:sz w:val="28"/>
      <w:szCs w:val="20"/>
    </w:rPr>
  </w:style>
  <w:style w:type="paragraph" w:customStyle="1" w:styleId="149">
    <w:name w:val="--规划-表格-居左"/>
    <w:basedOn w:val="144"/>
    <w:autoRedefine/>
    <w:qFormat/>
    <w:uiPriority w:val="0"/>
    <w:pPr>
      <w:spacing w:line="240" w:lineRule="auto"/>
      <w:ind w:firstLine="0" w:firstLineChars="0"/>
    </w:pPr>
    <w:rPr>
      <w:sz w:val="20"/>
    </w:rPr>
  </w:style>
  <w:style w:type="paragraph" w:customStyle="1" w:styleId="150">
    <w:name w:val="--规划-表格-居中"/>
    <w:basedOn w:val="144"/>
    <w:autoRedefine/>
    <w:qFormat/>
    <w:uiPriority w:val="0"/>
    <w:pPr>
      <w:spacing w:line="240" w:lineRule="auto"/>
      <w:ind w:firstLine="0" w:firstLineChars="0"/>
      <w:jc w:val="center"/>
    </w:pPr>
    <w:rPr>
      <w:sz w:val="20"/>
    </w:rPr>
  </w:style>
  <w:style w:type="paragraph" w:customStyle="1" w:styleId="151">
    <w:name w:val="--编号内缩进"/>
    <w:basedOn w:val="1"/>
    <w:autoRedefine/>
    <w:qFormat/>
    <w:uiPriority w:val="0"/>
    <w:pPr>
      <w:spacing w:line="360" w:lineRule="auto"/>
      <w:ind w:left="420" w:firstLine="200" w:firstLineChars="200"/>
    </w:pPr>
    <w:rPr>
      <w:rFonts w:ascii="Times New Roman" w:hAnsi="Times New Roman" w:eastAsia="宋体" w:cs="Times New Roman"/>
      <w:szCs w:val="21"/>
    </w:rPr>
  </w:style>
  <w:style w:type="paragraph" w:customStyle="1" w:styleId="152">
    <w:name w:val="--规划-题注"/>
    <w:basedOn w:val="1"/>
    <w:next w:val="144"/>
    <w:autoRedefine/>
    <w:qFormat/>
    <w:uiPriority w:val="0"/>
    <w:pPr>
      <w:spacing w:line="360" w:lineRule="auto"/>
      <w:jc w:val="center"/>
    </w:pPr>
    <w:rPr>
      <w:rFonts w:ascii="Times New Roman" w:hAnsi="Times New Roman" w:eastAsia="黑体" w:cs="Times New Roman"/>
      <w:szCs w:val="24"/>
    </w:rPr>
  </w:style>
  <w:style w:type="paragraph" w:customStyle="1" w:styleId="153">
    <w:name w:val="--规划-图和表"/>
    <w:next w:val="144"/>
    <w:autoRedefine/>
    <w:qFormat/>
    <w:uiPriority w:val="0"/>
    <w:pPr>
      <w:jc w:val="center"/>
    </w:pPr>
    <w:rPr>
      <w:rFonts w:ascii="Times New Roman" w:hAnsi="Times New Roman" w:eastAsia="宋体" w:cs="Times New Roman"/>
      <w:kern w:val="2"/>
      <w:sz w:val="21"/>
      <w:lang w:val="en-US" w:eastAsia="zh-CN" w:bidi="ar-SA"/>
    </w:rPr>
  </w:style>
  <w:style w:type="paragraph" w:customStyle="1" w:styleId="154">
    <w:name w:val="--规划-小标题"/>
    <w:basedOn w:val="1"/>
    <w:next w:val="144"/>
    <w:autoRedefine/>
    <w:qFormat/>
    <w:uiPriority w:val="0"/>
    <w:pPr>
      <w:keepNext/>
      <w:keepLines/>
      <w:spacing w:line="360" w:lineRule="auto"/>
      <w:outlineLvl w:val="4"/>
    </w:pPr>
    <w:rPr>
      <w:rFonts w:ascii="Times New Roman" w:hAnsi="Times New Roman" w:eastAsia="黑体" w:cs="Times New Roman"/>
      <w:szCs w:val="24"/>
    </w:rPr>
  </w:style>
  <w:style w:type="paragraph" w:customStyle="1" w:styleId="155">
    <w:name w:val="--规划正文 Char"/>
    <w:basedOn w:val="1"/>
    <w:qFormat/>
    <w:uiPriority w:val="0"/>
    <w:pPr>
      <w:spacing w:line="360" w:lineRule="auto"/>
      <w:ind w:firstLine="200" w:firstLineChars="200"/>
    </w:pPr>
    <w:rPr>
      <w:rFonts w:ascii="Times New Roman" w:hAnsi="Times New Roman" w:eastAsia="宋体" w:cs="Times New Roman"/>
      <w:sz w:val="24"/>
      <w:szCs w:val="24"/>
    </w:rPr>
  </w:style>
  <w:style w:type="paragraph" w:customStyle="1" w:styleId="156">
    <w:name w:val="缺省文本"/>
    <w:basedOn w:val="1"/>
    <w:qFormat/>
    <w:uiPriority w:val="0"/>
    <w:pPr>
      <w:autoSpaceDE w:val="0"/>
      <w:autoSpaceDN w:val="0"/>
      <w:adjustRightInd w:val="0"/>
      <w:jc w:val="left"/>
    </w:pPr>
    <w:rPr>
      <w:rFonts w:ascii="Times New Roman" w:hAnsi="Times New Roman" w:eastAsia="宋体" w:cs="Times New Roman"/>
      <w:kern w:val="0"/>
      <w:szCs w:val="24"/>
    </w:rPr>
  </w:style>
  <w:style w:type="paragraph" w:customStyle="1" w:styleId="157">
    <w:name w:val="封面文档标题"/>
    <w:basedOn w:val="1"/>
    <w:autoRedefine/>
    <w:qFormat/>
    <w:uiPriority w:val="0"/>
    <w:pPr>
      <w:autoSpaceDE w:val="0"/>
      <w:autoSpaceDN w:val="0"/>
      <w:adjustRightInd w:val="0"/>
      <w:spacing w:line="360" w:lineRule="auto"/>
      <w:jc w:val="center"/>
    </w:pPr>
    <w:rPr>
      <w:rFonts w:ascii="Arial" w:hAnsi="Arial" w:eastAsia="宋体" w:cs="Times New Roman"/>
      <w:b/>
      <w:kern w:val="0"/>
      <w:sz w:val="56"/>
      <w:szCs w:val="24"/>
    </w:rPr>
  </w:style>
  <w:style w:type="character" w:customStyle="1" w:styleId="158">
    <w:name w:val="--规划正文 Char Char"/>
    <w:autoRedefine/>
    <w:qFormat/>
    <w:uiPriority w:val="0"/>
    <w:rPr>
      <w:rFonts w:eastAsia="宋体"/>
      <w:kern w:val="2"/>
      <w:sz w:val="24"/>
      <w:szCs w:val="24"/>
      <w:lang w:val="en-US" w:eastAsia="zh-CN" w:bidi="ar-SA"/>
    </w:rPr>
  </w:style>
  <w:style w:type="paragraph" w:customStyle="1" w:styleId="159">
    <w:name w:val="样式3"/>
    <w:basedOn w:val="2"/>
    <w:qFormat/>
    <w:uiPriority w:val="0"/>
    <w:pPr>
      <w:numPr>
        <w:ilvl w:val="0"/>
        <w:numId w:val="5"/>
      </w:numPr>
      <w:spacing w:before="240" w:after="240" w:line="480" w:lineRule="auto"/>
      <w:ind w:right="210" w:rightChars="100"/>
      <w:jc w:val="left"/>
    </w:pPr>
    <w:rPr>
      <w:rFonts w:ascii="Times New Roman" w:hAnsi="Times New Roman"/>
      <w:sz w:val="32"/>
    </w:rPr>
  </w:style>
  <w:style w:type="character" w:customStyle="1" w:styleId="160">
    <w:name w:val="--规划正文 Char1"/>
    <w:autoRedefine/>
    <w:qFormat/>
    <w:uiPriority w:val="0"/>
    <w:rPr>
      <w:rFonts w:eastAsia="宋体"/>
      <w:kern w:val="2"/>
      <w:sz w:val="21"/>
      <w:lang w:val="en-US" w:eastAsia="zh-CN" w:bidi="ar-SA"/>
    </w:rPr>
  </w:style>
  <w:style w:type="paragraph" w:customStyle="1" w:styleId="161">
    <w:name w:val="word"/>
    <w:basedOn w:val="1"/>
    <w:autoRedefine/>
    <w:qFormat/>
    <w:uiPriority w:val="0"/>
    <w:pPr>
      <w:widowControl/>
      <w:spacing w:before="100" w:beforeAutospacing="1" w:after="100" w:afterAutospacing="1" w:line="301" w:lineRule="atLeast"/>
      <w:jc w:val="left"/>
    </w:pPr>
    <w:rPr>
      <w:rFonts w:ascii="ˎ̥" w:hAnsi="ˎ̥" w:eastAsia="宋体" w:cs="Times New Roman"/>
      <w:color w:val="000000"/>
      <w:kern w:val="0"/>
      <w:sz w:val="20"/>
      <w:szCs w:val="20"/>
    </w:rPr>
  </w:style>
  <w:style w:type="paragraph" w:customStyle="1" w:styleId="162">
    <w:name w:val="列表项目"/>
    <w:basedOn w:val="1"/>
    <w:qFormat/>
    <w:uiPriority w:val="0"/>
    <w:pPr>
      <w:tabs>
        <w:tab w:val="left" w:pos="420"/>
        <w:tab w:val="left" w:pos="1080"/>
      </w:tabs>
      <w:spacing w:line="288" w:lineRule="auto"/>
      <w:ind w:left="1080" w:hanging="360"/>
    </w:pPr>
    <w:rPr>
      <w:rFonts w:ascii="Times New Roman" w:hAnsi="Times New Roman" w:eastAsia="宋体" w:cs="Times New Roman"/>
      <w:sz w:val="24"/>
      <w:szCs w:val="20"/>
    </w:rPr>
  </w:style>
  <w:style w:type="character" w:customStyle="1" w:styleId="163">
    <w:name w:val="content1"/>
    <w:autoRedefine/>
    <w:qFormat/>
    <w:uiPriority w:val="0"/>
    <w:rPr>
      <w:rFonts w:hint="default" w:ascii="??" w:hAnsi="??"/>
      <w:sz w:val="16"/>
      <w:szCs w:val="16"/>
      <w:u w:val="none"/>
    </w:rPr>
  </w:style>
  <w:style w:type="character" w:customStyle="1" w:styleId="164">
    <w:name w:val="unnamed4"/>
    <w:basedOn w:val="56"/>
    <w:autoRedefine/>
    <w:qFormat/>
    <w:uiPriority w:val="0"/>
  </w:style>
  <w:style w:type="character" w:customStyle="1" w:styleId="165">
    <w:name w:val="font2"/>
    <w:basedOn w:val="56"/>
    <w:qFormat/>
    <w:uiPriority w:val="0"/>
  </w:style>
  <w:style w:type="character" w:customStyle="1" w:styleId="166">
    <w:name w:val="font41"/>
    <w:autoRedefine/>
    <w:qFormat/>
    <w:uiPriority w:val="0"/>
    <w:rPr>
      <w:color w:val="000000"/>
      <w:sz w:val="18"/>
      <w:szCs w:val="18"/>
      <w:u w:val="none"/>
    </w:rPr>
  </w:style>
  <w:style w:type="paragraph" w:customStyle="1" w:styleId="167">
    <w:name w:val="正文(首行缩进)"/>
    <w:qFormat/>
    <w:uiPriority w:val="0"/>
    <w:pPr>
      <w:spacing w:line="360" w:lineRule="auto"/>
      <w:ind w:firstLine="488" w:firstLineChars="200"/>
      <w:jc w:val="both"/>
    </w:pPr>
    <w:rPr>
      <w:rFonts w:ascii="Times New Roman" w:hAnsi="Times New Roman" w:eastAsia="仿宋_GB2312" w:cs="Times New Roman"/>
      <w:spacing w:val="2"/>
      <w:sz w:val="24"/>
      <w:szCs w:val="24"/>
      <w:lang w:val="en-US" w:eastAsia="zh-CN" w:bidi="ar-SA"/>
    </w:rPr>
  </w:style>
  <w:style w:type="paragraph" w:customStyle="1" w:styleId="168">
    <w:name w:val="xl72"/>
    <w:basedOn w:val="1"/>
    <w:autoRedefine/>
    <w:qFormat/>
    <w:uiPriority w:val="0"/>
    <w:pPr>
      <w:widowControl/>
      <w:spacing w:before="100" w:beforeAutospacing="1" w:after="100" w:afterAutospacing="1"/>
      <w:jc w:val="left"/>
    </w:pPr>
    <w:rPr>
      <w:rFonts w:ascii="宋体" w:hAnsi="宋体" w:eastAsia="宋体" w:cs="Times New Roman"/>
      <w:b/>
      <w:bCs/>
      <w:kern w:val="0"/>
      <w:sz w:val="28"/>
      <w:szCs w:val="28"/>
    </w:rPr>
  </w:style>
  <w:style w:type="character" w:customStyle="1" w:styleId="169">
    <w:name w:val="正文首行缩进 字符"/>
    <w:basedOn w:val="105"/>
    <w:autoRedefine/>
    <w:semiHidden/>
    <w:qFormat/>
    <w:uiPriority w:val="99"/>
  </w:style>
  <w:style w:type="paragraph" w:customStyle="1" w:styleId="170">
    <w:name w:val="正文(首行缩进) Char"/>
    <w:autoRedefine/>
    <w:qFormat/>
    <w:uiPriority w:val="0"/>
    <w:pPr>
      <w:spacing w:before="120" w:after="60" w:line="360" w:lineRule="auto"/>
      <w:ind w:firstLine="200" w:firstLineChars="200"/>
    </w:pPr>
    <w:rPr>
      <w:rFonts w:ascii="Times New Roman" w:hAnsi="Times New Roman" w:eastAsia="仿宋_GB2312" w:cs="Times New Roman"/>
      <w:spacing w:val="2"/>
      <w:kern w:val="24"/>
      <w:sz w:val="24"/>
      <w:szCs w:val="24"/>
      <w:lang w:val="en-US" w:eastAsia="zh-CN" w:bidi="ar-SA"/>
    </w:rPr>
  </w:style>
  <w:style w:type="paragraph" w:customStyle="1" w:styleId="171">
    <w:name w:val="汉议细等线简8"/>
    <w:qFormat/>
    <w:uiPriority w:val="0"/>
    <w:pPr>
      <w:widowControl w:val="0"/>
      <w:autoSpaceDE w:val="0"/>
      <w:autoSpaceDN w:val="0"/>
      <w:adjustRightInd w:val="0"/>
      <w:spacing w:line="260" w:lineRule="atLeast"/>
      <w:jc w:val="both"/>
    </w:pPr>
    <w:rPr>
      <w:rFonts w:ascii="汉仪细等线简" w:hAnsi="Times New Roman" w:eastAsia="汉仪细等线简" w:cs="Times New Roman"/>
      <w:color w:val="000000"/>
      <w:sz w:val="16"/>
      <w:szCs w:val="16"/>
      <w:lang w:val="en-US" w:eastAsia="zh-CN" w:bidi="ar-SA"/>
    </w:rPr>
  </w:style>
  <w:style w:type="paragraph" w:customStyle="1" w:styleId="172">
    <w:name w:val="汉仪细等线简9BOLD"/>
    <w:basedOn w:val="1"/>
    <w:qFormat/>
    <w:uiPriority w:val="0"/>
    <w:pPr>
      <w:autoSpaceDE w:val="0"/>
      <w:autoSpaceDN w:val="0"/>
      <w:adjustRightInd w:val="0"/>
      <w:spacing w:line="240" w:lineRule="atLeast"/>
    </w:pPr>
    <w:rPr>
      <w:rFonts w:ascii="汉仪细等线简" w:hAnsi="Times New Roman" w:eastAsia="汉仪细等线简" w:cs="Times New Roman"/>
      <w:b/>
      <w:bCs/>
      <w:kern w:val="0"/>
      <w:sz w:val="18"/>
      <w:szCs w:val="18"/>
    </w:rPr>
  </w:style>
  <w:style w:type="character" w:customStyle="1" w:styleId="173">
    <w:name w:val="mode"/>
    <w:basedOn w:val="56"/>
    <w:qFormat/>
    <w:uiPriority w:val="0"/>
  </w:style>
  <w:style w:type="paragraph" w:customStyle="1" w:styleId="174">
    <w:name w:val="9"/>
    <w:basedOn w:val="1"/>
    <w:next w:val="7"/>
    <w:qFormat/>
    <w:uiPriority w:val="0"/>
    <w:pPr>
      <w:autoSpaceDE w:val="0"/>
      <w:autoSpaceDN w:val="0"/>
      <w:adjustRightInd w:val="0"/>
      <w:ind w:firstLine="420"/>
      <w:jc w:val="left"/>
      <w:textAlignment w:val="baseline"/>
    </w:pPr>
    <w:rPr>
      <w:rFonts w:ascii="宋体" w:hAnsi="Times New Roman" w:eastAsia="宋体" w:cs="Times New Roman"/>
      <w:kern w:val="0"/>
      <w:sz w:val="34"/>
      <w:szCs w:val="20"/>
    </w:rPr>
  </w:style>
  <w:style w:type="character" w:customStyle="1" w:styleId="175">
    <w:name w:val="unnamed3"/>
    <w:basedOn w:val="56"/>
    <w:qFormat/>
    <w:uiPriority w:val="0"/>
  </w:style>
  <w:style w:type="paragraph" w:customStyle="1" w:styleId="176">
    <w:name w:val="8"/>
    <w:basedOn w:val="1"/>
    <w:next w:val="23"/>
    <w:qFormat/>
    <w:uiPriority w:val="0"/>
    <w:pPr>
      <w:spacing w:after="120"/>
      <w:ind w:left="420" w:leftChars="200"/>
    </w:pPr>
    <w:rPr>
      <w:rFonts w:ascii="Times New Roman" w:hAnsi="Times New Roman" w:eastAsia="宋体" w:cs="Times New Roman"/>
      <w:szCs w:val="24"/>
    </w:rPr>
  </w:style>
  <w:style w:type="paragraph" w:customStyle="1" w:styleId="177">
    <w:name w:val="7"/>
    <w:basedOn w:val="1"/>
    <w:qFormat/>
    <w:uiPriority w:val="0"/>
    <w:pPr>
      <w:autoSpaceDE w:val="0"/>
      <w:autoSpaceDN w:val="0"/>
      <w:adjustRightInd w:val="0"/>
      <w:spacing w:line="270" w:lineRule="atLeast"/>
      <w:jc w:val="left"/>
    </w:pPr>
    <w:rPr>
      <w:rFonts w:ascii="宋体" w:hAnsi="Times New Roman" w:eastAsia="宋体" w:cs="Times New Roman"/>
      <w:kern w:val="0"/>
      <w:sz w:val="18"/>
      <w:szCs w:val="18"/>
    </w:rPr>
  </w:style>
  <w:style w:type="paragraph" w:customStyle="1" w:styleId="178">
    <w:name w:val="00"/>
    <w:basedOn w:val="1"/>
    <w:qFormat/>
    <w:uiPriority w:val="0"/>
    <w:pPr>
      <w:autoSpaceDE w:val="0"/>
      <w:autoSpaceDN w:val="0"/>
      <w:adjustRightInd w:val="0"/>
      <w:jc w:val="left"/>
    </w:pPr>
    <w:rPr>
      <w:rFonts w:ascii="黑体" w:hAnsi="Times New Roman" w:eastAsia="黑体" w:cs="Times New Roman"/>
      <w:b/>
      <w:bCs/>
      <w:kern w:val="0"/>
      <w:sz w:val="20"/>
      <w:szCs w:val="20"/>
    </w:rPr>
  </w:style>
  <w:style w:type="paragraph" w:customStyle="1" w:styleId="179">
    <w:name w:val="5"/>
    <w:basedOn w:val="1"/>
    <w:qFormat/>
    <w:uiPriority w:val="0"/>
    <w:pPr>
      <w:autoSpaceDE w:val="0"/>
      <w:autoSpaceDN w:val="0"/>
      <w:adjustRightInd w:val="0"/>
      <w:jc w:val="left"/>
    </w:pPr>
    <w:rPr>
      <w:rFonts w:ascii="宋体" w:hAnsi="Times New Roman" w:eastAsia="宋体" w:cs="Times New Roman"/>
      <w:b/>
      <w:bCs/>
      <w:kern w:val="0"/>
      <w:sz w:val="18"/>
      <w:szCs w:val="18"/>
    </w:rPr>
  </w:style>
  <w:style w:type="paragraph" w:customStyle="1" w:styleId="180">
    <w:name w:val="6"/>
    <w:basedOn w:val="179"/>
    <w:qFormat/>
    <w:uiPriority w:val="0"/>
    <w:pPr>
      <w:spacing w:line="270" w:lineRule="atLeast"/>
      <w:jc w:val="both"/>
    </w:pPr>
    <w:rPr>
      <w:b w:val="0"/>
      <w:bCs w:val="0"/>
    </w:rPr>
  </w:style>
  <w:style w:type="paragraph" w:customStyle="1" w:styleId="181">
    <w:name w:val="产品描述"/>
    <w:qFormat/>
    <w:uiPriority w:val="0"/>
    <w:pPr>
      <w:widowControl w:val="0"/>
      <w:autoSpaceDE w:val="0"/>
      <w:autoSpaceDN w:val="0"/>
      <w:adjustRightInd w:val="0"/>
      <w:spacing w:line="270" w:lineRule="atLeast"/>
      <w:ind w:firstLine="397"/>
      <w:jc w:val="both"/>
    </w:pPr>
    <w:rPr>
      <w:rFonts w:ascii="宋体" w:hAnsi="Times New Roman" w:eastAsia="宋体" w:cs="Times New Roman"/>
      <w:sz w:val="18"/>
      <w:szCs w:val="18"/>
      <w:lang w:val="en-US" w:eastAsia="zh-CN" w:bidi="ar-SA"/>
    </w:rPr>
  </w:style>
  <w:style w:type="paragraph" w:customStyle="1" w:styleId="182">
    <w:name w:val="姜文清定义的正文"/>
    <w:basedOn w:val="1"/>
    <w:qFormat/>
    <w:uiPriority w:val="0"/>
    <w:pPr>
      <w:spacing w:line="240" w:lineRule="atLeast"/>
      <w:ind w:firstLine="567"/>
    </w:pPr>
    <w:rPr>
      <w:rFonts w:ascii="Times New Roman" w:hAnsi="Times New Roman" w:eastAsia="宋体" w:cs="Times New Roman"/>
      <w:szCs w:val="20"/>
    </w:rPr>
  </w:style>
  <w:style w:type="paragraph" w:customStyle="1" w:styleId="183">
    <w:name w:val="Default"/>
    <w:qFormat/>
    <w:uiPriority w:val="0"/>
    <w:pPr>
      <w:widowControl w:val="0"/>
      <w:autoSpaceDE w:val="0"/>
      <w:autoSpaceDN w:val="0"/>
      <w:adjustRightInd w:val="0"/>
    </w:pPr>
    <w:rPr>
      <w:rFonts w:ascii="H Yb 2gj" w:hAnsi="Times New Roman" w:eastAsia="H Yb 2gj" w:cs="H Yb 2gj"/>
      <w:color w:val="000000"/>
      <w:sz w:val="24"/>
      <w:szCs w:val="24"/>
      <w:lang w:val="en-US" w:eastAsia="zh-CN" w:bidi="ar-SA"/>
    </w:rPr>
  </w:style>
  <w:style w:type="paragraph" w:customStyle="1" w:styleId="184">
    <w:name w:val="CM2"/>
    <w:basedOn w:val="183"/>
    <w:next w:val="183"/>
    <w:qFormat/>
    <w:uiPriority w:val="0"/>
    <w:pPr>
      <w:spacing w:line="200" w:lineRule="atLeast"/>
    </w:pPr>
    <w:rPr>
      <w:rFonts w:ascii="Arial" w:hAnsi="Arial" w:eastAsia="宋体" w:cs="Times New Roman"/>
      <w:color w:val="auto"/>
    </w:rPr>
  </w:style>
  <w:style w:type="paragraph" w:customStyle="1" w:styleId="185">
    <w:name w:val="Normal Paragraph"/>
    <w:basedOn w:val="1"/>
    <w:qFormat/>
    <w:uiPriority w:val="0"/>
    <w:pPr>
      <w:widowControl/>
      <w:spacing w:before="120" w:line="360" w:lineRule="auto"/>
      <w:ind w:firstLine="425"/>
    </w:pPr>
    <w:rPr>
      <w:rFonts w:ascii="Times New Roman" w:hAnsi="Times New Roman" w:eastAsia="宋体" w:cs="Times New Roman"/>
      <w:kern w:val="0"/>
      <w:sz w:val="24"/>
      <w:szCs w:val="24"/>
    </w:rPr>
  </w:style>
  <w:style w:type="character" w:customStyle="1" w:styleId="186">
    <w:name w:val="blue"/>
    <w:basedOn w:val="56"/>
    <w:qFormat/>
    <w:uiPriority w:val="0"/>
  </w:style>
  <w:style w:type="paragraph" w:customStyle="1" w:styleId="187">
    <w:name w:val="blue1"/>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188">
    <w:name w:val="font"/>
    <w:basedOn w:val="56"/>
    <w:qFormat/>
    <w:uiPriority w:val="0"/>
  </w:style>
  <w:style w:type="character" w:customStyle="1" w:styleId="189">
    <w:name w:val="font11"/>
    <w:qFormat/>
    <w:uiPriority w:val="0"/>
    <w:rPr>
      <w:rFonts w:hint="default" w:ascii="ˎ̥" w:hAnsi="ˎ̥"/>
    </w:rPr>
  </w:style>
  <w:style w:type="paragraph" w:customStyle="1" w:styleId="190">
    <w:name w:val="a14"/>
    <w:basedOn w:val="1"/>
    <w:qFormat/>
    <w:uiPriority w:val="0"/>
    <w:pPr>
      <w:widowControl/>
      <w:spacing w:before="100" w:beforeAutospacing="1" w:after="100" w:afterAutospacing="1" w:line="300" w:lineRule="atLeast"/>
      <w:ind w:firstLine="375"/>
      <w:jc w:val="left"/>
    </w:pPr>
    <w:rPr>
      <w:rFonts w:ascii="宋体" w:hAnsi="宋体" w:eastAsia="宋体" w:cs="宋体"/>
      <w:kern w:val="0"/>
      <w:szCs w:val="21"/>
    </w:rPr>
  </w:style>
  <w:style w:type="character" w:customStyle="1" w:styleId="191">
    <w:name w:val="proddescription"/>
    <w:basedOn w:val="56"/>
    <w:qFormat/>
    <w:uiPriority w:val="0"/>
  </w:style>
  <w:style w:type="character" w:customStyle="1" w:styleId="192">
    <w:name w:val="prodheadlines"/>
    <w:basedOn w:val="56"/>
    <w:qFormat/>
    <w:uiPriority w:val="0"/>
  </w:style>
  <w:style w:type="character" w:customStyle="1" w:styleId="193">
    <w:name w:val="text"/>
    <w:basedOn w:val="56"/>
    <w:qFormat/>
    <w:uiPriority w:val="0"/>
  </w:style>
  <w:style w:type="paragraph" w:customStyle="1" w:styleId="194">
    <w:name w:val="text1"/>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95">
    <w:name w:val="z-窗体顶端1"/>
    <w:basedOn w:val="1"/>
    <w:next w:val="1"/>
    <w:link w:val="196"/>
    <w:qFormat/>
    <w:uiPriority w:val="0"/>
    <w:pPr>
      <w:widowControl/>
      <w:pBdr>
        <w:bottom w:val="single" w:color="auto" w:sz="6" w:space="1"/>
      </w:pBdr>
      <w:jc w:val="center"/>
    </w:pPr>
    <w:rPr>
      <w:rFonts w:ascii="Arial" w:hAnsi="Arial" w:eastAsia="宋体" w:cs="Arial"/>
      <w:vanish/>
      <w:kern w:val="0"/>
      <w:sz w:val="16"/>
      <w:szCs w:val="16"/>
    </w:rPr>
  </w:style>
  <w:style w:type="character" w:customStyle="1" w:styleId="196">
    <w:name w:val="z-窗体顶端 Char"/>
    <w:basedOn w:val="56"/>
    <w:link w:val="195"/>
    <w:qFormat/>
    <w:uiPriority w:val="0"/>
    <w:rPr>
      <w:rFonts w:ascii="Arial" w:hAnsi="Arial" w:eastAsia="宋体" w:cs="Arial"/>
      <w:vanish/>
      <w:kern w:val="0"/>
      <w:sz w:val="16"/>
      <w:szCs w:val="16"/>
    </w:rPr>
  </w:style>
  <w:style w:type="paragraph" w:customStyle="1" w:styleId="197">
    <w:name w:val="z-窗体底端1"/>
    <w:basedOn w:val="1"/>
    <w:next w:val="1"/>
    <w:link w:val="198"/>
    <w:qFormat/>
    <w:uiPriority w:val="0"/>
    <w:pPr>
      <w:widowControl/>
      <w:pBdr>
        <w:top w:val="single" w:color="auto" w:sz="6" w:space="1"/>
      </w:pBdr>
      <w:jc w:val="center"/>
    </w:pPr>
    <w:rPr>
      <w:rFonts w:ascii="Arial" w:hAnsi="Arial" w:eastAsia="宋体" w:cs="Arial"/>
      <w:vanish/>
      <w:kern w:val="0"/>
      <w:sz w:val="16"/>
      <w:szCs w:val="16"/>
    </w:rPr>
  </w:style>
  <w:style w:type="character" w:customStyle="1" w:styleId="198">
    <w:name w:val="z-窗体底端 Char"/>
    <w:basedOn w:val="56"/>
    <w:link w:val="197"/>
    <w:qFormat/>
    <w:uiPriority w:val="0"/>
    <w:rPr>
      <w:rFonts w:ascii="Arial" w:hAnsi="Arial" w:eastAsia="宋体" w:cs="Arial"/>
      <w:vanish/>
      <w:kern w:val="0"/>
      <w:sz w:val="16"/>
      <w:szCs w:val="16"/>
    </w:rPr>
  </w:style>
  <w:style w:type="paragraph" w:customStyle="1" w:styleId="199">
    <w:name w:val="正文样式"/>
    <w:basedOn w:val="1"/>
    <w:qFormat/>
    <w:uiPriority w:val="0"/>
    <w:pPr>
      <w:adjustRightInd w:val="0"/>
      <w:spacing w:line="400" w:lineRule="atLeast"/>
      <w:ind w:firstLine="570" w:firstLineChars="203"/>
      <w:textAlignment w:val="baseline"/>
    </w:pPr>
    <w:rPr>
      <w:rFonts w:ascii="Times New Roman" w:hAnsi="Times New Roman" w:eastAsia="仿宋_GB2312" w:cs="Times New Roman"/>
      <w:kern w:val="0"/>
      <w:sz w:val="28"/>
      <w:szCs w:val="20"/>
    </w:rPr>
  </w:style>
  <w:style w:type="paragraph" w:customStyle="1" w:styleId="200">
    <w:name w:val="xl34"/>
    <w:basedOn w:val="1"/>
    <w:qFormat/>
    <w:uiPriority w:val="0"/>
    <w:pPr>
      <w:widowControl/>
      <w:pBdr>
        <w:left w:val="single" w:color="auto" w:sz="4" w:space="0"/>
      </w:pBdr>
      <w:spacing w:before="100" w:beforeAutospacing="1" w:after="100" w:afterAutospacing="1"/>
      <w:jc w:val="center"/>
      <w:textAlignment w:val="center"/>
    </w:pPr>
    <w:rPr>
      <w:rFonts w:ascii="宋体" w:hAnsi="宋体" w:eastAsia="宋体" w:cs="Times New Roman"/>
      <w:kern w:val="0"/>
      <w:sz w:val="24"/>
      <w:szCs w:val="24"/>
    </w:rPr>
  </w:style>
  <w:style w:type="paragraph" w:customStyle="1" w:styleId="201">
    <w:name w:val="段落正文"/>
    <w:basedOn w:val="30"/>
    <w:qFormat/>
    <w:uiPriority w:val="0"/>
    <w:pPr>
      <w:ind w:firstLine="560" w:firstLineChars="200"/>
    </w:pPr>
    <w:rPr>
      <w:sz w:val="28"/>
    </w:rPr>
  </w:style>
  <w:style w:type="character" w:customStyle="1" w:styleId="202">
    <w:name w:val="gray6"/>
    <w:basedOn w:val="56"/>
    <w:qFormat/>
    <w:uiPriority w:val="0"/>
  </w:style>
  <w:style w:type="character" w:customStyle="1" w:styleId="203">
    <w:name w:val="style9"/>
    <w:basedOn w:val="56"/>
    <w:qFormat/>
    <w:uiPriority w:val="0"/>
  </w:style>
  <w:style w:type="paragraph" w:customStyle="1" w:styleId="204">
    <w:name w:val="2册标题4"/>
    <w:basedOn w:val="1"/>
    <w:next w:val="1"/>
    <w:qFormat/>
    <w:uiPriority w:val="0"/>
    <w:pPr>
      <w:spacing w:beforeLines="50" w:afterLines="50" w:line="300" w:lineRule="auto"/>
      <w:ind w:left="420" w:leftChars="200"/>
      <w:outlineLvl w:val="3"/>
    </w:pPr>
    <w:rPr>
      <w:rFonts w:ascii="Arial" w:hAnsi="Arial" w:eastAsia="幼圆" w:cs="Arial"/>
      <w:b/>
      <w:sz w:val="24"/>
      <w:szCs w:val="24"/>
    </w:rPr>
  </w:style>
  <w:style w:type="character" w:customStyle="1" w:styleId="205">
    <w:name w:val="grame"/>
    <w:basedOn w:val="56"/>
    <w:qFormat/>
    <w:uiPriority w:val="0"/>
  </w:style>
  <w:style w:type="paragraph" w:customStyle="1" w:styleId="206">
    <w:name w:val="style2"/>
    <w:basedOn w:val="1"/>
    <w:autoRedefine/>
    <w:qFormat/>
    <w:uiPriority w:val="0"/>
    <w:pPr>
      <w:widowControl/>
      <w:spacing w:before="100" w:beforeAutospacing="1" w:after="100" w:afterAutospacing="1"/>
      <w:jc w:val="left"/>
    </w:pPr>
    <w:rPr>
      <w:rFonts w:ascii="宋体" w:hAnsi="宋体" w:eastAsia="宋体" w:cs="宋体"/>
      <w:kern w:val="0"/>
      <w:sz w:val="18"/>
      <w:szCs w:val="18"/>
    </w:rPr>
  </w:style>
  <w:style w:type="paragraph" w:customStyle="1" w:styleId="207">
    <w:name w:val="Char1"/>
    <w:basedOn w:val="1"/>
    <w:qFormat/>
    <w:uiPriority w:val="0"/>
    <w:pPr>
      <w:jc w:val="left"/>
    </w:pPr>
    <w:rPr>
      <w:rFonts w:ascii="Tahoma" w:hAnsi="Tahoma" w:eastAsia="宋体" w:cs="Times New Roman"/>
      <w:sz w:val="24"/>
      <w:szCs w:val="20"/>
    </w:rPr>
  </w:style>
  <w:style w:type="paragraph" w:customStyle="1" w:styleId="208">
    <w:name w:val="编号1"/>
    <w:basedOn w:val="1"/>
    <w:qFormat/>
    <w:uiPriority w:val="0"/>
    <w:pPr>
      <w:numPr>
        <w:ilvl w:val="0"/>
        <w:numId w:val="6"/>
      </w:numPr>
      <w:adjustRightInd w:val="0"/>
      <w:spacing w:line="300" w:lineRule="auto"/>
      <w:ind w:right="210"/>
      <w:textAlignment w:val="center"/>
    </w:pPr>
    <w:rPr>
      <w:rFonts w:ascii="宋体" w:hAnsi="宋体" w:eastAsia="宋体" w:cs="Times New Roman"/>
      <w:snapToGrid w:val="0"/>
      <w:spacing w:val="10"/>
      <w:kern w:val="24"/>
      <w:szCs w:val="24"/>
    </w:rPr>
  </w:style>
  <w:style w:type="paragraph" w:customStyle="1" w:styleId="209">
    <w:name w:val="Char Char Char Char Char Char Char Char Char Char Char Char Char Char Char Char Char Char Char Char Char Char"/>
    <w:basedOn w:val="1"/>
    <w:qFormat/>
    <w:uiPriority w:val="0"/>
    <w:pPr>
      <w:widowControl/>
      <w:spacing w:line="400" w:lineRule="exact"/>
      <w:jc w:val="center"/>
    </w:pPr>
    <w:rPr>
      <w:rFonts w:ascii="Verdana" w:hAnsi="Verdana" w:eastAsia="宋体" w:cs="Times New Roman"/>
      <w:kern w:val="0"/>
      <w:szCs w:val="20"/>
      <w:lang w:eastAsia="en-US"/>
    </w:rPr>
  </w:style>
  <w:style w:type="paragraph" w:customStyle="1" w:styleId="210">
    <w:name w:val="font0"/>
    <w:basedOn w:val="1"/>
    <w:qFormat/>
    <w:uiPriority w:val="0"/>
    <w:pPr>
      <w:widowControl/>
      <w:spacing w:before="100" w:beforeAutospacing="1" w:after="100" w:afterAutospacing="1"/>
      <w:jc w:val="left"/>
    </w:pPr>
    <w:rPr>
      <w:rFonts w:hint="eastAsia" w:ascii="宋体" w:hAnsi="宋体" w:eastAsia="宋体" w:cs="Times New Roman"/>
      <w:kern w:val="0"/>
      <w:sz w:val="24"/>
      <w:szCs w:val="24"/>
    </w:rPr>
  </w:style>
  <w:style w:type="paragraph" w:customStyle="1" w:styleId="211">
    <w:name w:val="font5"/>
    <w:basedOn w:val="1"/>
    <w:qFormat/>
    <w:uiPriority w:val="0"/>
    <w:pPr>
      <w:widowControl/>
      <w:spacing w:before="100" w:beforeAutospacing="1" w:after="100" w:afterAutospacing="1"/>
      <w:jc w:val="left"/>
    </w:pPr>
    <w:rPr>
      <w:rFonts w:hint="eastAsia" w:ascii="宋体" w:hAnsi="宋体" w:eastAsia="宋体" w:cs="Times New Roman"/>
      <w:kern w:val="0"/>
      <w:sz w:val="18"/>
      <w:szCs w:val="18"/>
    </w:rPr>
  </w:style>
  <w:style w:type="paragraph" w:customStyle="1" w:styleId="212">
    <w:name w:val="font6"/>
    <w:basedOn w:val="1"/>
    <w:qFormat/>
    <w:uiPriority w:val="0"/>
    <w:pPr>
      <w:widowControl/>
      <w:spacing w:before="100" w:beforeAutospacing="1" w:after="100" w:afterAutospacing="1"/>
      <w:jc w:val="left"/>
    </w:pPr>
    <w:rPr>
      <w:rFonts w:ascii="Times New Roman" w:hAnsi="Times New Roman" w:eastAsia="宋体" w:cs="Times New Roman"/>
      <w:kern w:val="0"/>
      <w:sz w:val="24"/>
      <w:szCs w:val="24"/>
    </w:rPr>
  </w:style>
  <w:style w:type="paragraph" w:customStyle="1" w:styleId="213">
    <w:name w:val="xl2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Times New Roman"/>
      <w:kern w:val="0"/>
      <w:sz w:val="24"/>
      <w:szCs w:val="24"/>
    </w:rPr>
  </w:style>
  <w:style w:type="paragraph" w:customStyle="1" w:styleId="214">
    <w:name w:val="xl2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Times New Roman"/>
      <w:kern w:val="0"/>
      <w:sz w:val="24"/>
      <w:szCs w:val="24"/>
    </w:rPr>
  </w:style>
  <w:style w:type="paragraph" w:customStyle="1" w:styleId="215">
    <w:name w:val="表格字"/>
    <w:basedOn w:val="1"/>
    <w:qFormat/>
    <w:uiPriority w:val="0"/>
    <w:pPr>
      <w:adjustRightInd w:val="0"/>
      <w:jc w:val="center"/>
    </w:pPr>
    <w:rPr>
      <w:rFonts w:ascii="宋体" w:hAnsi="Times New Roman" w:eastAsia="宋体" w:cs="Times New Roman"/>
      <w:sz w:val="24"/>
      <w:szCs w:val="20"/>
    </w:rPr>
  </w:style>
  <w:style w:type="character" w:customStyle="1" w:styleId="216">
    <w:name w:val="样式 小三 加粗"/>
    <w:qFormat/>
    <w:uiPriority w:val="0"/>
    <w:rPr>
      <w:rFonts w:eastAsia="宋体"/>
      <w:b/>
      <w:bCs/>
      <w:sz w:val="32"/>
    </w:rPr>
  </w:style>
  <w:style w:type="paragraph" w:customStyle="1" w:styleId="217">
    <w:name w:val="xl2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218">
    <w:name w:val="qw"/>
    <w:qFormat/>
    <w:uiPriority w:val="0"/>
    <w:pPr>
      <w:widowControl w:val="0"/>
      <w:adjustRightInd w:val="0"/>
      <w:spacing w:line="312" w:lineRule="atLeast"/>
      <w:jc w:val="both"/>
      <w:textAlignment w:val="baseline"/>
    </w:pPr>
    <w:rPr>
      <w:rFonts w:ascii="宋体" w:hAnsi="Times New Roman" w:eastAsia="宋体" w:cs="Times New Roman"/>
      <w:sz w:val="24"/>
      <w:lang w:val="en-US" w:eastAsia="zh-CN" w:bidi="ar-SA"/>
    </w:rPr>
  </w:style>
  <w:style w:type="paragraph" w:customStyle="1" w:styleId="219">
    <w:name w:val="Char Char Char"/>
    <w:basedOn w:val="1"/>
    <w:qFormat/>
    <w:uiPriority w:val="0"/>
    <w:rPr>
      <w:rFonts w:ascii="Tahoma" w:hAnsi="Tahoma" w:eastAsia="宋体" w:cs="Times New Roman"/>
      <w:sz w:val="24"/>
      <w:szCs w:val="20"/>
    </w:rPr>
  </w:style>
  <w:style w:type="paragraph" w:customStyle="1" w:styleId="220">
    <w:name w:val="Char2"/>
    <w:basedOn w:val="1"/>
    <w:qFormat/>
    <w:uiPriority w:val="0"/>
    <w:pPr>
      <w:widowControl/>
      <w:spacing w:after="160" w:line="240" w:lineRule="exact"/>
      <w:jc w:val="left"/>
    </w:pPr>
    <w:rPr>
      <w:rFonts w:ascii="Verdana" w:hAnsi="Verdana" w:eastAsia="仿宋_GB2312" w:cs="Times New Roman"/>
      <w:kern w:val="0"/>
      <w:sz w:val="24"/>
      <w:szCs w:val="20"/>
      <w:lang w:eastAsia="en-US"/>
    </w:rPr>
  </w:style>
  <w:style w:type="character" w:customStyle="1" w:styleId="221">
    <w:name w:val="info4"/>
    <w:basedOn w:val="56"/>
    <w:qFormat/>
    <w:uiPriority w:val="0"/>
  </w:style>
  <w:style w:type="paragraph" w:customStyle="1" w:styleId="222">
    <w:name w:val="缩进正文"/>
    <w:basedOn w:val="1"/>
    <w:link w:val="223"/>
    <w:qFormat/>
    <w:uiPriority w:val="0"/>
    <w:pPr>
      <w:ind w:firstLine="560" w:firstLineChars="200"/>
    </w:pPr>
    <w:rPr>
      <w:rFonts w:ascii="Times New Roman" w:hAnsi="Times New Roman" w:eastAsia="仿宋_GB2312" w:cs="宋体"/>
      <w:sz w:val="28"/>
      <w:szCs w:val="20"/>
    </w:rPr>
  </w:style>
  <w:style w:type="character" w:customStyle="1" w:styleId="223">
    <w:name w:val="缩进正文 Char"/>
    <w:link w:val="222"/>
    <w:qFormat/>
    <w:uiPriority w:val="0"/>
    <w:rPr>
      <w:rFonts w:ascii="Times New Roman" w:hAnsi="Times New Roman" w:eastAsia="仿宋_GB2312" w:cs="宋体"/>
      <w:sz w:val="28"/>
      <w:szCs w:val="20"/>
    </w:rPr>
  </w:style>
  <w:style w:type="paragraph" w:customStyle="1" w:styleId="224">
    <w:name w:val="列出段落1"/>
    <w:basedOn w:val="1"/>
    <w:qFormat/>
    <w:uiPriority w:val="0"/>
    <w:pPr>
      <w:ind w:firstLine="420" w:firstLineChars="200"/>
    </w:pPr>
    <w:rPr>
      <w:rFonts w:ascii="Calibri" w:hAnsi="Calibri" w:eastAsia="宋体" w:cs="Calibri"/>
      <w:szCs w:val="21"/>
    </w:rPr>
  </w:style>
  <w:style w:type="paragraph" w:customStyle="1" w:styleId="225">
    <w:name w:val="SS正文首行缩进 +"/>
    <w:basedOn w:val="52"/>
    <w:qFormat/>
    <w:uiPriority w:val="99"/>
    <w:pPr>
      <w:spacing w:beforeLines="50" w:afterLines="50" w:line="360" w:lineRule="auto"/>
      <w:ind w:firstLine="480" w:firstLineChars="200"/>
    </w:pPr>
    <w:rPr>
      <w:rFonts w:cs="宋体"/>
      <w:sz w:val="24"/>
      <w:szCs w:val="20"/>
    </w:rPr>
  </w:style>
  <w:style w:type="character" w:customStyle="1" w:styleId="226">
    <w:name w:val="批注主题 字符"/>
    <w:basedOn w:val="108"/>
    <w:semiHidden/>
    <w:qFormat/>
    <w:uiPriority w:val="99"/>
    <w:rPr>
      <w:b/>
      <w:bCs/>
    </w:rPr>
  </w:style>
  <w:style w:type="paragraph" w:customStyle="1" w:styleId="227">
    <w:name w:val="Char4"/>
    <w:basedOn w:val="1"/>
    <w:qFormat/>
    <w:uiPriority w:val="0"/>
    <w:pPr>
      <w:widowControl/>
      <w:spacing w:after="160" w:line="240" w:lineRule="exact"/>
      <w:jc w:val="left"/>
    </w:pPr>
    <w:rPr>
      <w:rFonts w:ascii="Verdana" w:hAnsi="Verdana" w:eastAsia="仿宋_GB2312" w:cs="Times New Roman"/>
      <w:kern w:val="0"/>
      <w:sz w:val="24"/>
      <w:szCs w:val="20"/>
      <w:lang w:eastAsia="en-US"/>
    </w:rPr>
  </w:style>
  <w:style w:type="paragraph" w:customStyle="1" w:styleId="228">
    <w:name w:val="列出段落2"/>
    <w:basedOn w:val="1"/>
    <w:qFormat/>
    <w:uiPriority w:val="34"/>
    <w:pPr>
      <w:ind w:firstLine="420" w:firstLineChars="200"/>
    </w:pPr>
    <w:rPr>
      <w:rFonts w:ascii="Times New Roman" w:hAnsi="Times New Roman" w:eastAsia="宋体" w:cs="Times New Roman"/>
      <w:sz w:val="24"/>
      <w:szCs w:val="24"/>
    </w:rPr>
  </w:style>
  <w:style w:type="character" w:customStyle="1" w:styleId="229">
    <w:name w:val="标准文本 Char"/>
    <w:link w:val="230"/>
    <w:qFormat/>
    <w:locked/>
    <w:uiPriority w:val="0"/>
    <w:rPr>
      <w:sz w:val="24"/>
      <w:lang w:val="zh-CN" w:eastAsia="zh-CN"/>
    </w:rPr>
  </w:style>
  <w:style w:type="paragraph" w:customStyle="1" w:styleId="230">
    <w:name w:val="标准文本"/>
    <w:basedOn w:val="1"/>
    <w:link w:val="229"/>
    <w:qFormat/>
    <w:uiPriority w:val="0"/>
    <w:pPr>
      <w:spacing w:line="360" w:lineRule="auto"/>
      <w:ind w:firstLine="480" w:firstLineChars="200"/>
    </w:pPr>
    <w:rPr>
      <w:sz w:val="24"/>
      <w:lang w:val="zh-CN"/>
    </w:rPr>
  </w:style>
  <w:style w:type="paragraph" w:customStyle="1" w:styleId="231">
    <w:name w:val="msolistparagraph"/>
    <w:basedOn w:val="1"/>
    <w:qFormat/>
    <w:uiPriority w:val="0"/>
    <w:pPr>
      <w:ind w:firstLine="420" w:firstLineChars="200"/>
    </w:pPr>
    <w:rPr>
      <w:rFonts w:ascii="Calibri" w:hAnsi="Calibri" w:eastAsia="宋体" w:cs="Times New Roman"/>
    </w:rPr>
  </w:style>
  <w:style w:type="character" w:customStyle="1" w:styleId="232">
    <w:name w:val="标题 2 Char"/>
    <w:qFormat/>
    <w:uiPriority w:val="0"/>
    <w:rPr>
      <w:sz w:val="24"/>
    </w:rPr>
  </w:style>
  <w:style w:type="character" w:customStyle="1" w:styleId="233">
    <w:name w:val="批注文字 Char"/>
    <w:qFormat/>
    <w:uiPriority w:val="0"/>
    <w:rPr>
      <w:kern w:val="2"/>
      <w:sz w:val="21"/>
      <w:szCs w:val="24"/>
    </w:rPr>
  </w:style>
  <w:style w:type="character" w:customStyle="1" w:styleId="234">
    <w:name w:val="正文文本首行缩进 2 字符"/>
    <w:basedOn w:val="77"/>
    <w:link w:val="53"/>
    <w:qFormat/>
    <w:uiPriority w:val="0"/>
    <w:rPr>
      <w:rFonts w:ascii="Times New Roman" w:hAnsi="Times New Roman" w:eastAsia="宋体" w:cs="Times New Roman"/>
      <w:kern w:val="2"/>
      <w:sz w:val="21"/>
      <w:szCs w:val="24"/>
    </w:rPr>
  </w:style>
  <w:style w:type="paragraph" w:customStyle="1" w:styleId="235">
    <w:name w:val="Char11"/>
    <w:basedOn w:val="1"/>
    <w:qFormat/>
    <w:uiPriority w:val="0"/>
    <w:pPr>
      <w:widowControl/>
      <w:spacing w:after="160" w:line="240" w:lineRule="exact"/>
      <w:jc w:val="left"/>
    </w:pPr>
    <w:rPr>
      <w:rFonts w:ascii="Verdana" w:hAnsi="Verdana" w:eastAsia="仿宋_GB2312" w:cs="Times New Roman"/>
      <w:kern w:val="0"/>
      <w:sz w:val="24"/>
      <w:szCs w:val="20"/>
      <w:lang w:eastAsia="en-US"/>
    </w:rPr>
  </w:style>
  <w:style w:type="paragraph" w:customStyle="1" w:styleId="236">
    <w:name w:val="Char Char Char Char11"/>
    <w:basedOn w:val="1"/>
    <w:qFormat/>
    <w:uiPriority w:val="0"/>
    <w:pPr>
      <w:widowControl/>
      <w:spacing w:after="160" w:line="240" w:lineRule="exact"/>
      <w:jc w:val="left"/>
    </w:pPr>
    <w:rPr>
      <w:rFonts w:ascii="Verdana" w:hAnsi="Verdana" w:eastAsia="仿宋_GB2312" w:cs="Times New Roman"/>
      <w:kern w:val="0"/>
      <w:sz w:val="24"/>
      <w:szCs w:val="20"/>
      <w:lang w:eastAsia="en-US"/>
    </w:rPr>
  </w:style>
  <w:style w:type="paragraph" w:customStyle="1" w:styleId="237">
    <w:name w:val="_Style 64"/>
    <w:basedOn w:val="1"/>
    <w:qFormat/>
    <w:uiPriority w:val="0"/>
    <w:pPr>
      <w:widowControl/>
      <w:spacing w:after="160" w:line="240" w:lineRule="exact"/>
      <w:jc w:val="left"/>
    </w:pPr>
    <w:rPr>
      <w:rFonts w:ascii="Times New Roman" w:hAnsi="Times New Roman" w:eastAsia="宋体" w:cs="Times New Roman"/>
      <w:szCs w:val="24"/>
    </w:rPr>
  </w:style>
  <w:style w:type="paragraph" w:customStyle="1" w:styleId="238">
    <w:name w:val="Char Char Char Char Char Char Char"/>
    <w:basedOn w:val="1"/>
    <w:qFormat/>
    <w:uiPriority w:val="0"/>
    <w:pPr>
      <w:widowControl/>
      <w:spacing w:after="160" w:line="240" w:lineRule="exact"/>
      <w:jc w:val="left"/>
    </w:pPr>
    <w:rPr>
      <w:rFonts w:ascii="Times New Roman" w:hAnsi="Times New Roman" w:eastAsia="宋体" w:cs="Times New Roman"/>
      <w:szCs w:val="24"/>
    </w:rPr>
  </w:style>
  <w:style w:type="paragraph" w:customStyle="1" w:styleId="239">
    <w:name w:val="Char Char Char Char Char Char Char1"/>
    <w:basedOn w:val="1"/>
    <w:qFormat/>
    <w:uiPriority w:val="0"/>
    <w:pPr>
      <w:widowControl/>
      <w:spacing w:after="160" w:line="240" w:lineRule="exact"/>
      <w:jc w:val="left"/>
    </w:pPr>
    <w:rPr>
      <w:rFonts w:ascii="Times New Roman" w:hAnsi="Times New Roman" w:eastAsia="宋体" w:cs="Times New Roman"/>
      <w:szCs w:val="24"/>
    </w:rPr>
  </w:style>
  <w:style w:type="paragraph" w:customStyle="1" w:styleId="240">
    <w:name w:val="Char Char8 Char Char Char Char Char Char Char Char"/>
    <w:basedOn w:val="1"/>
    <w:qFormat/>
    <w:uiPriority w:val="0"/>
    <w:pPr>
      <w:widowControl/>
      <w:spacing w:after="160" w:line="240" w:lineRule="exact"/>
      <w:jc w:val="left"/>
    </w:pPr>
    <w:rPr>
      <w:rFonts w:ascii="Verdana" w:hAnsi="Verdana" w:eastAsia="仿宋_GB2312" w:cs="Times New Roman"/>
      <w:kern w:val="0"/>
      <w:sz w:val="24"/>
      <w:szCs w:val="20"/>
      <w:lang w:eastAsia="en-US"/>
    </w:rPr>
  </w:style>
  <w:style w:type="paragraph" w:customStyle="1" w:styleId="241">
    <w:name w:val="表格内文"/>
    <w:basedOn w:val="1"/>
    <w:qFormat/>
    <w:uiPriority w:val="0"/>
    <w:pPr>
      <w:spacing w:before="60" w:after="60"/>
      <w:jc w:val="center"/>
    </w:pPr>
    <w:rPr>
      <w:rFonts w:ascii="Times New Roman" w:hAnsi="Times New Roman" w:eastAsia="文鼎CS书宋二" w:cs="Times New Roman"/>
      <w:w w:val="95"/>
      <w:sz w:val="18"/>
      <w:szCs w:val="20"/>
    </w:rPr>
  </w:style>
  <w:style w:type="paragraph" w:customStyle="1" w:styleId="242">
    <w:name w:val="内正文"/>
    <w:basedOn w:val="1"/>
    <w:qFormat/>
    <w:uiPriority w:val="0"/>
    <w:pPr>
      <w:ind w:firstLine="420"/>
    </w:pPr>
    <w:rPr>
      <w:rFonts w:ascii="Times New Roman" w:hAnsi="Times New Roman" w:eastAsia="文鼎CS书宋二" w:cs="Times New Roman"/>
      <w:szCs w:val="20"/>
    </w:rPr>
  </w:style>
  <w:style w:type="character" w:customStyle="1" w:styleId="243">
    <w:name w:val="批注框文本 Char1"/>
    <w:qFormat/>
    <w:uiPriority w:val="0"/>
    <w:rPr>
      <w:kern w:val="2"/>
      <w:sz w:val="18"/>
      <w:szCs w:val="18"/>
    </w:rPr>
  </w:style>
  <w:style w:type="paragraph" w:customStyle="1" w:styleId="244">
    <w:name w:val="内正文篇标"/>
    <w:basedOn w:val="242"/>
    <w:qFormat/>
    <w:uiPriority w:val="0"/>
    <w:pPr>
      <w:ind w:firstLine="2354" w:firstLineChars="654"/>
      <w:jc w:val="left"/>
    </w:pPr>
    <w:rPr>
      <w:rFonts w:ascii="宋体" w:hAnsi="宋体" w:eastAsia="宋体"/>
      <w:w w:val="90"/>
      <w:sz w:val="40"/>
    </w:rPr>
  </w:style>
  <w:style w:type="paragraph" w:customStyle="1" w:styleId="245">
    <w:name w:val="内正文加粗"/>
    <w:basedOn w:val="242"/>
    <w:qFormat/>
    <w:uiPriority w:val="0"/>
    <w:pPr>
      <w:spacing w:before="60" w:after="60"/>
    </w:pPr>
    <w:rPr>
      <w:b/>
    </w:rPr>
  </w:style>
  <w:style w:type="paragraph" w:customStyle="1" w:styleId="246">
    <w:name w:val="正文未缩进"/>
    <w:basedOn w:val="1"/>
    <w:qFormat/>
    <w:uiPriority w:val="0"/>
    <w:rPr>
      <w:rFonts w:ascii="Times New Roman" w:hAnsi="Times New Roman" w:eastAsia="文鼎CS书宋二" w:cs="Times New Roman"/>
      <w:szCs w:val="20"/>
    </w:rPr>
  </w:style>
  <w:style w:type="paragraph" w:customStyle="1" w:styleId="247">
    <w:name w:val="小标题"/>
    <w:basedOn w:val="1"/>
    <w:qFormat/>
    <w:uiPriority w:val="0"/>
    <w:pPr>
      <w:spacing w:before="240" w:after="240"/>
      <w:jc w:val="center"/>
    </w:pPr>
    <w:rPr>
      <w:rFonts w:ascii="Times New Roman" w:hAnsi="Times New Roman" w:eastAsia="创艺简黑体" w:cs="Times New Roman"/>
      <w:b/>
      <w:w w:val="95"/>
      <w:szCs w:val="20"/>
    </w:rPr>
  </w:style>
  <w:style w:type="paragraph" w:customStyle="1" w:styleId="248">
    <w:name w:val="表格标题"/>
    <w:basedOn w:val="247"/>
    <w:qFormat/>
    <w:uiPriority w:val="0"/>
    <w:pPr>
      <w:spacing w:before="120" w:after="60"/>
    </w:pPr>
    <w:rPr>
      <w:rFonts w:eastAsia="文鼎CS大宋"/>
      <w:b w:val="0"/>
      <w:sz w:val="28"/>
    </w:rPr>
  </w:style>
  <w:style w:type="paragraph" w:customStyle="1" w:styleId="249">
    <w:name w:val="节标题"/>
    <w:basedOn w:val="1"/>
    <w:qFormat/>
    <w:uiPriority w:val="0"/>
    <w:pPr>
      <w:spacing w:before="240" w:after="240"/>
      <w:jc w:val="center"/>
    </w:pPr>
    <w:rPr>
      <w:rFonts w:ascii="Times New Roman" w:hAnsi="Times New Roman" w:eastAsia="文鼎CS长美黑" w:cs="Times New Roman"/>
      <w:w w:val="95"/>
      <w:sz w:val="32"/>
      <w:szCs w:val="20"/>
    </w:rPr>
  </w:style>
  <w:style w:type="paragraph" w:customStyle="1" w:styleId="250">
    <w:name w:val="说明"/>
    <w:basedOn w:val="247"/>
    <w:qFormat/>
    <w:uiPriority w:val="0"/>
    <w:pPr>
      <w:spacing w:before="0" w:after="0" w:line="288" w:lineRule="auto"/>
      <w:ind w:firstLine="420"/>
      <w:jc w:val="both"/>
    </w:pPr>
    <w:rPr>
      <w:rFonts w:ascii="文鼎中楷" w:eastAsia="文鼎中楷"/>
      <w:b w:val="0"/>
    </w:rPr>
  </w:style>
  <w:style w:type="character" w:customStyle="1" w:styleId="251">
    <w:name w:val="p121"/>
    <w:qFormat/>
    <w:uiPriority w:val="0"/>
    <w:rPr>
      <w:rFonts w:hint="default"/>
      <w:sz w:val="24"/>
      <w:szCs w:val="24"/>
    </w:rPr>
  </w:style>
  <w:style w:type="paragraph" w:customStyle="1" w:styleId="252">
    <w:name w:val="Definition Term"/>
    <w:basedOn w:val="1"/>
    <w:next w:val="1"/>
    <w:qFormat/>
    <w:uiPriority w:val="0"/>
    <w:pPr>
      <w:autoSpaceDE w:val="0"/>
      <w:autoSpaceDN w:val="0"/>
      <w:adjustRightInd w:val="0"/>
      <w:jc w:val="left"/>
    </w:pPr>
    <w:rPr>
      <w:rFonts w:ascii="Times New Roman" w:hAnsi="Times New Roman" w:eastAsia="宋体" w:cs="Times New Roman"/>
      <w:kern w:val="0"/>
      <w:sz w:val="24"/>
      <w:szCs w:val="20"/>
    </w:rPr>
  </w:style>
  <w:style w:type="paragraph" w:customStyle="1" w:styleId="253">
    <w:name w:val="font7"/>
    <w:basedOn w:val="1"/>
    <w:qFormat/>
    <w:uiPriority w:val="0"/>
    <w:pPr>
      <w:widowControl/>
      <w:spacing w:before="100" w:beforeAutospacing="1" w:after="100" w:afterAutospacing="1"/>
      <w:jc w:val="left"/>
    </w:pPr>
    <w:rPr>
      <w:rFonts w:hint="eastAsia" w:ascii="宋体" w:hAnsi="宋体" w:eastAsia="宋体" w:cs="Times New Roman"/>
      <w:kern w:val="0"/>
      <w:sz w:val="22"/>
    </w:rPr>
  </w:style>
  <w:style w:type="paragraph" w:customStyle="1" w:styleId="254">
    <w:name w:val="xl26"/>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pPr>
    <w:rPr>
      <w:rFonts w:ascii="宋体" w:hAnsi="宋体" w:eastAsia="宋体" w:cs="Times New Roman"/>
      <w:kern w:val="0"/>
      <w:sz w:val="22"/>
    </w:rPr>
  </w:style>
  <w:style w:type="paragraph" w:customStyle="1" w:styleId="255">
    <w:name w:val="xl27"/>
    <w:basedOn w:val="1"/>
    <w:qFormat/>
    <w:uiPriority w:val="0"/>
    <w:pPr>
      <w:widowControl/>
      <w:pBdr>
        <w:top w:val="single" w:color="auto" w:sz="4" w:space="0"/>
        <w:bottom w:val="single" w:color="auto" w:sz="4" w:space="0"/>
      </w:pBdr>
      <w:spacing w:before="100" w:beforeAutospacing="1" w:after="100" w:afterAutospacing="1"/>
      <w:jc w:val="center"/>
    </w:pPr>
    <w:rPr>
      <w:rFonts w:ascii="宋体" w:hAnsi="宋体" w:eastAsia="宋体" w:cs="Times New Roman"/>
      <w:kern w:val="0"/>
      <w:sz w:val="22"/>
    </w:rPr>
  </w:style>
  <w:style w:type="paragraph" w:customStyle="1" w:styleId="256">
    <w:name w:val="xl29"/>
    <w:basedOn w:val="1"/>
    <w:qFormat/>
    <w:uiPriority w:val="0"/>
    <w:pPr>
      <w:widowControl/>
      <w:pBdr>
        <w:top w:val="single" w:color="auto" w:sz="4" w:space="0"/>
        <w:left w:val="single" w:color="auto" w:sz="4" w:space="0"/>
        <w:bottom w:val="single" w:color="auto" w:sz="8" w:space="0"/>
      </w:pBdr>
      <w:spacing w:before="100" w:beforeAutospacing="1" w:after="100" w:afterAutospacing="1"/>
      <w:jc w:val="center"/>
    </w:pPr>
    <w:rPr>
      <w:rFonts w:ascii="宋体" w:hAnsi="宋体" w:eastAsia="宋体" w:cs="Times New Roman"/>
      <w:kern w:val="0"/>
      <w:sz w:val="22"/>
    </w:rPr>
  </w:style>
  <w:style w:type="paragraph" w:customStyle="1" w:styleId="257">
    <w:name w:val="xl30"/>
    <w:basedOn w:val="1"/>
    <w:qFormat/>
    <w:uiPriority w:val="0"/>
    <w:pPr>
      <w:widowControl/>
      <w:pBdr>
        <w:top w:val="single" w:color="auto" w:sz="4" w:space="0"/>
        <w:bottom w:val="single" w:color="auto" w:sz="8" w:space="0"/>
      </w:pBdr>
      <w:spacing w:before="100" w:beforeAutospacing="1" w:after="100" w:afterAutospacing="1"/>
      <w:jc w:val="center"/>
    </w:pPr>
    <w:rPr>
      <w:rFonts w:ascii="宋体" w:hAnsi="宋体" w:eastAsia="宋体" w:cs="Times New Roman"/>
      <w:kern w:val="0"/>
      <w:sz w:val="22"/>
    </w:rPr>
  </w:style>
  <w:style w:type="paragraph" w:customStyle="1" w:styleId="258">
    <w:name w:val="xl31"/>
    <w:basedOn w:val="1"/>
    <w:qFormat/>
    <w:uiPriority w:val="0"/>
    <w:pPr>
      <w:widowControl/>
      <w:pBdr>
        <w:top w:val="single" w:color="auto" w:sz="4" w:space="0"/>
        <w:bottom w:val="single" w:color="auto" w:sz="8" w:space="0"/>
        <w:right w:val="single" w:color="auto" w:sz="4" w:space="0"/>
      </w:pBdr>
      <w:spacing w:before="100" w:beforeAutospacing="1" w:after="100" w:afterAutospacing="1"/>
      <w:jc w:val="center"/>
    </w:pPr>
    <w:rPr>
      <w:rFonts w:ascii="宋体" w:hAnsi="宋体" w:eastAsia="宋体" w:cs="Times New Roman"/>
      <w:kern w:val="0"/>
      <w:sz w:val="22"/>
    </w:rPr>
  </w:style>
  <w:style w:type="paragraph" w:customStyle="1" w:styleId="259">
    <w:name w:val="xl32"/>
    <w:basedOn w:val="1"/>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center"/>
    </w:pPr>
    <w:rPr>
      <w:rFonts w:ascii="宋体" w:hAnsi="宋体" w:eastAsia="宋体" w:cs="Times New Roman"/>
      <w:b/>
      <w:bCs/>
      <w:kern w:val="0"/>
      <w:sz w:val="24"/>
      <w:szCs w:val="24"/>
    </w:rPr>
  </w:style>
  <w:style w:type="paragraph" w:customStyle="1" w:styleId="260">
    <w:name w:val="xl33"/>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pPr>
    <w:rPr>
      <w:rFonts w:ascii="宋体" w:hAnsi="宋体" w:eastAsia="宋体" w:cs="Times New Roman"/>
      <w:kern w:val="0"/>
      <w:sz w:val="22"/>
    </w:rPr>
  </w:style>
  <w:style w:type="paragraph" w:customStyle="1" w:styleId="261">
    <w:name w:val="xl35"/>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pPr>
    <w:rPr>
      <w:rFonts w:ascii="宋体" w:hAnsi="宋体" w:eastAsia="宋体" w:cs="Times New Roman"/>
      <w:kern w:val="0"/>
      <w:sz w:val="22"/>
    </w:rPr>
  </w:style>
  <w:style w:type="paragraph" w:customStyle="1" w:styleId="262">
    <w:name w:val="xl36"/>
    <w:basedOn w:val="1"/>
    <w:qFormat/>
    <w:uiPriority w:val="0"/>
    <w:pPr>
      <w:widowControl/>
      <w:pBdr>
        <w:top w:val="single" w:color="auto" w:sz="4" w:space="0"/>
        <w:left w:val="single" w:color="auto" w:sz="4" w:space="0"/>
        <w:bottom w:val="single" w:color="auto" w:sz="8" w:space="0"/>
      </w:pBdr>
      <w:spacing w:before="100" w:beforeAutospacing="1" w:after="100" w:afterAutospacing="1"/>
      <w:jc w:val="center"/>
    </w:pPr>
    <w:rPr>
      <w:rFonts w:ascii="宋体" w:hAnsi="宋体" w:eastAsia="宋体" w:cs="Times New Roman"/>
      <w:kern w:val="0"/>
      <w:sz w:val="22"/>
    </w:rPr>
  </w:style>
  <w:style w:type="paragraph" w:customStyle="1" w:styleId="263">
    <w:name w:val="xl37"/>
    <w:basedOn w:val="1"/>
    <w:qFormat/>
    <w:uiPriority w:val="0"/>
    <w:pPr>
      <w:widowControl/>
      <w:pBdr>
        <w:top w:val="single" w:color="auto" w:sz="4" w:space="0"/>
        <w:bottom w:val="single" w:color="auto" w:sz="8" w:space="0"/>
      </w:pBdr>
      <w:spacing w:before="100" w:beforeAutospacing="1" w:after="100" w:afterAutospacing="1"/>
      <w:jc w:val="center"/>
    </w:pPr>
    <w:rPr>
      <w:rFonts w:ascii="宋体" w:hAnsi="宋体" w:eastAsia="宋体" w:cs="Times New Roman"/>
      <w:kern w:val="0"/>
      <w:sz w:val="22"/>
    </w:rPr>
  </w:style>
  <w:style w:type="paragraph" w:customStyle="1" w:styleId="264">
    <w:name w:val="xl38"/>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pPr>
    <w:rPr>
      <w:rFonts w:ascii="宋体" w:hAnsi="宋体" w:eastAsia="宋体" w:cs="Times New Roman"/>
      <w:b/>
      <w:bCs/>
      <w:kern w:val="0"/>
      <w:sz w:val="24"/>
      <w:szCs w:val="24"/>
    </w:rPr>
  </w:style>
  <w:style w:type="paragraph" w:customStyle="1" w:styleId="265">
    <w:name w:val="xl39"/>
    <w:basedOn w:val="1"/>
    <w:qFormat/>
    <w:uiPriority w:val="0"/>
    <w:pPr>
      <w:widowControl/>
      <w:pBdr>
        <w:top w:val="single" w:color="auto" w:sz="4" w:space="0"/>
        <w:bottom w:val="single" w:color="auto" w:sz="4" w:space="0"/>
      </w:pBdr>
      <w:spacing w:before="100" w:beforeAutospacing="1" w:after="100" w:afterAutospacing="1"/>
      <w:jc w:val="center"/>
    </w:pPr>
    <w:rPr>
      <w:rFonts w:ascii="宋体" w:hAnsi="宋体" w:eastAsia="宋体" w:cs="Times New Roman"/>
      <w:b/>
      <w:bCs/>
      <w:kern w:val="0"/>
      <w:sz w:val="24"/>
      <w:szCs w:val="24"/>
    </w:rPr>
  </w:style>
  <w:style w:type="paragraph" w:customStyle="1" w:styleId="266">
    <w:name w:val="xl40"/>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pPr>
    <w:rPr>
      <w:rFonts w:ascii="宋体" w:hAnsi="宋体" w:eastAsia="宋体" w:cs="Times New Roman"/>
      <w:b/>
      <w:bCs/>
      <w:kern w:val="0"/>
      <w:sz w:val="24"/>
      <w:szCs w:val="24"/>
    </w:rPr>
  </w:style>
  <w:style w:type="paragraph" w:customStyle="1" w:styleId="267">
    <w:name w:val="xl41"/>
    <w:basedOn w:val="1"/>
    <w:qFormat/>
    <w:uiPriority w:val="0"/>
    <w:pPr>
      <w:widowControl/>
      <w:pBdr>
        <w:top w:val="single" w:color="auto" w:sz="8" w:space="0"/>
        <w:left w:val="single" w:color="auto" w:sz="8" w:space="0"/>
        <w:bottom w:val="single" w:color="auto" w:sz="4" w:space="0"/>
        <w:right w:val="single" w:color="auto" w:sz="4" w:space="0"/>
      </w:pBdr>
      <w:spacing w:before="100" w:beforeAutospacing="1" w:after="100" w:afterAutospacing="1"/>
      <w:jc w:val="center"/>
    </w:pPr>
    <w:rPr>
      <w:rFonts w:ascii="宋体" w:hAnsi="宋体" w:eastAsia="宋体" w:cs="Times New Roman"/>
      <w:b/>
      <w:bCs/>
      <w:kern w:val="0"/>
      <w:sz w:val="24"/>
      <w:szCs w:val="24"/>
    </w:rPr>
  </w:style>
  <w:style w:type="paragraph" w:customStyle="1" w:styleId="268">
    <w:name w:val="xl42"/>
    <w:basedOn w:val="1"/>
    <w:qFormat/>
    <w:uiPriority w:val="0"/>
    <w:pPr>
      <w:widowControl/>
      <w:pBdr>
        <w:top w:val="single" w:color="auto" w:sz="8"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Times New Roman"/>
      <w:b/>
      <w:bCs/>
      <w:kern w:val="0"/>
      <w:sz w:val="24"/>
      <w:szCs w:val="24"/>
    </w:rPr>
  </w:style>
  <w:style w:type="paragraph" w:customStyle="1" w:styleId="269">
    <w:name w:val="xl43"/>
    <w:basedOn w:val="1"/>
    <w:qFormat/>
    <w:uiPriority w:val="0"/>
    <w:pPr>
      <w:widowControl/>
      <w:pBdr>
        <w:top w:val="single" w:color="auto" w:sz="8" w:space="0"/>
        <w:left w:val="single" w:color="auto" w:sz="4" w:space="0"/>
        <w:bottom w:val="single" w:color="auto" w:sz="4" w:space="0"/>
        <w:right w:val="single" w:color="auto" w:sz="8" w:space="0"/>
      </w:pBdr>
      <w:spacing w:before="100" w:beforeAutospacing="1" w:after="100" w:afterAutospacing="1"/>
      <w:jc w:val="center"/>
    </w:pPr>
    <w:rPr>
      <w:rFonts w:ascii="宋体" w:hAnsi="宋体" w:eastAsia="宋体" w:cs="Times New Roman"/>
      <w:b/>
      <w:bCs/>
      <w:kern w:val="0"/>
      <w:sz w:val="24"/>
      <w:szCs w:val="24"/>
    </w:rPr>
  </w:style>
  <w:style w:type="paragraph" w:customStyle="1" w:styleId="270">
    <w:name w:val="xl44"/>
    <w:basedOn w:val="1"/>
    <w:qFormat/>
    <w:uiPriority w:val="0"/>
    <w:pPr>
      <w:widowControl/>
      <w:pBdr>
        <w:top w:val="single" w:color="auto" w:sz="4" w:space="0"/>
        <w:bottom w:val="single" w:color="auto" w:sz="8" w:space="0"/>
        <w:right w:val="single" w:color="auto" w:sz="4" w:space="0"/>
      </w:pBdr>
      <w:spacing w:before="100" w:beforeAutospacing="1" w:after="100" w:afterAutospacing="1"/>
      <w:jc w:val="center"/>
    </w:pPr>
    <w:rPr>
      <w:rFonts w:ascii="宋体" w:hAnsi="宋体" w:eastAsia="宋体" w:cs="Times New Roman"/>
      <w:kern w:val="0"/>
      <w:sz w:val="22"/>
    </w:rPr>
  </w:style>
  <w:style w:type="paragraph" w:customStyle="1" w:styleId="271">
    <w:name w:val="char"/>
    <w:basedOn w:val="3"/>
    <w:qFormat/>
    <w:uiPriority w:val="0"/>
    <w:pPr>
      <w:spacing w:line="360" w:lineRule="auto"/>
      <w:ind w:firstLine="2560" w:firstLineChars="800"/>
    </w:pPr>
    <w:rPr>
      <w:b w:val="0"/>
      <w:sz w:val="32"/>
      <w:szCs w:val="20"/>
    </w:rPr>
  </w:style>
  <w:style w:type="paragraph" w:customStyle="1" w:styleId="272">
    <w:name w:val="标题4 Char"/>
    <w:basedOn w:val="1"/>
    <w:qFormat/>
    <w:uiPriority w:val="0"/>
    <w:pPr>
      <w:spacing w:line="360" w:lineRule="auto"/>
      <w:ind w:firstLine="538" w:firstLineChars="192"/>
      <w:jc w:val="left"/>
    </w:pPr>
    <w:rPr>
      <w:rFonts w:ascii="宋体" w:hAnsi="宋体" w:eastAsia="宋体" w:cs="Times New Roman"/>
      <w:color w:val="000000"/>
      <w:sz w:val="28"/>
      <w:szCs w:val="28"/>
    </w:rPr>
  </w:style>
  <w:style w:type="paragraph" w:customStyle="1" w:styleId="273">
    <w:name w:val="投标人须知1"/>
    <w:basedOn w:val="1"/>
    <w:qFormat/>
    <w:uiPriority w:val="0"/>
    <w:pPr>
      <w:spacing w:line="480" w:lineRule="auto"/>
      <w:ind w:left="833" w:hanging="113"/>
      <w:jc w:val="left"/>
    </w:pPr>
    <w:rPr>
      <w:rFonts w:ascii="Times New Roman" w:hAnsi="Times New Roman" w:eastAsia="宋体" w:cs="Times New Roman"/>
      <w:b/>
      <w:sz w:val="24"/>
      <w:szCs w:val="24"/>
    </w:rPr>
  </w:style>
  <w:style w:type="paragraph" w:customStyle="1" w:styleId="274">
    <w:name w:val="投标人须知2"/>
    <w:basedOn w:val="1"/>
    <w:qFormat/>
    <w:uiPriority w:val="0"/>
    <w:pPr>
      <w:spacing w:line="300" w:lineRule="auto"/>
      <w:ind w:left="653" w:hanging="113"/>
      <w:jc w:val="left"/>
    </w:pPr>
    <w:rPr>
      <w:rFonts w:ascii="Times New Roman" w:hAnsi="Times New Roman" w:eastAsia="宋体" w:cs="Times New Roman"/>
      <w:szCs w:val="21"/>
    </w:rPr>
  </w:style>
  <w:style w:type="paragraph" w:customStyle="1" w:styleId="275">
    <w:name w:val="投标人须知3"/>
    <w:basedOn w:val="1"/>
    <w:qFormat/>
    <w:uiPriority w:val="0"/>
    <w:pPr>
      <w:numPr>
        <w:ilvl w:val="2"/>
        <w:numId w:val="7"/>
      </w:numPr>
      <w:spacing w:line="300" w:lineRule="auto"/>
      <w:jc w:val="left"/>
    </w:pPr>
    <w:rPr>
      <w:rFonts w:ascii="Times New Roman" w:hAnsi="Times New Roman" w:eastAsia="宋体" w:cs="Times New Roman"/>
      <w:szCs w:val="24"/>
    </w:rPr>
  </w:style>
  <w:style w:type="paragraph" w:customStyle="1" w:styleId="276">
    <w:name w:val="投标人须知4"/>
    <w:basedOn w:val="1"/>
    <w:qFormat/>
    <w:uiPriority w:val="0"/>
    <w:pPr>
      <w:numPr>
        <w:ilvl w:val="3"/>
        <w:numId w:val="7"/>
      </w:numPr>
      <w:spacing w:line="300" w:lineRule="auto"/>
      <w:ind w:left="794" w:hanging="340"/>
      <w:jc w:val="left"/>
    </w:pPr>
    <w:rPr>
      <w:rFonts w:ascii="Times New Roman" w:hAnsi="Times New Roman" w:eastAsia="宋体" w:cs="Times New Roman"/>
      <w:szCs w:val="24"/>
    </w:rPr>
  </w:style>
  <w:style w:type="paragraph" w:customStyle="1" w:styleId="277">
    <w:name w:val="样式 投标人须知1 + (符号) 宋体"/>
    <w:basedOn w:val="273"/>
    <w:qFormat/>
    <w:uiPriority w:val="0"/>
    <w:pPr>
      <w:tabs>
        <w:tab w:val="left" w:pos="360"/>
      </w:tabs>
      <w:ind w:left="360" w:hanging="360"/>
      <w:outlineLvl w:val="1"/>
    </w:pPr>
    <w:rPr>
      <w:bCs/>
    </w:rPr>
  </w:style>
  <w:style w:type="paragraph" w:customStyle="1" w:styleId="278">
    <w:name w:val="Char Char Char Char Char1 Char Char Char Char Char Char Char Char Char Char"/>
    <w:basedOn w:val="1"/>
    <w:qFormat/>
    <w:uiPriority w:val="0"/>
    <w:rPr>
      <w:rFonts w:ascii="仿宋_GB2312" w:hAnsi="Times New Roman" w:eastAsia="仿宋_GB2312" w:cs="Times New Roman"/>
      <w:b/>
      <w:sz w:val="32"/>
      <w:szCs w:val="32"/>
    </w:rPr>
  </w:style>
  <w:style w:type="paragraph" w:customStyle="1" w:styleId="279">
    <w:name w:val="表格内文1"/>
    <w:basedOn w:val="241"/>
    <w:qFormat/>
    <w:uiPriority w:val="0"/>
  </w:style>
  <w:style w:type="paragraph" w:customStyle="1" w:styleId="280">
    <w:name w:val="001"/>
    <w:basedOn w:val="281"/>
    <w:qFormat/>
    <w:uiPriority w:val="0"/>
  </w:style>
  <w:style w:type="paragraph" w:customStyle="1" w:styleId="281">
    <w:name w:val="05"/>
    <w:basedOn w:val="282"/>
    <w:qFormat/>
    <w:uiPriority w:val="0"/>
  </w:style>
  <w:style w:type="paragraph" w:customStyle="1" w:styleId="282">
    <w:name w:val="01"/>
    <w:basedOn w:val="283"/>
    <w:qFormat/>
    <w:uiPriority w:val="0"/>
  </w:style>
  <w:style w:type="paragraph" w:customStyle="1" w:styleId="283">
    <w:name w:val="表格内文2"/>
    <w:basedOn w:val="241"/>
    <w:qFormat/>
    <w:uiPriority w:val="0"/>
  </w:style>
  <w:style w:type="paragraph" w:customStyle="1" w:styleId="284">
    <w:name w:val="002"/>
    <w:basedOn w:val="242"/>
    <w:qFormat/>
    <w:uiPriority w:val="0"/>
    <w:pPr>
      <w:spacing w:before="62" w:after="62"/>
      <w:jc w:val="center"/>
    </w:pPr>
  </w:style>
  <w:style w:type="paragraph" w:customStyle="1" w:styleId="285">
    <w:name w:val="表格下注"/>
    <w:basedOn w:val="242"/>
    <w:qFormat/>
    <w:uiPriority w:val="0"/>
    <w:pPr>
      <w:ind w:left="798" w:hanging="378"/>
    </w:pPr>
    <w:rPr>
      <w:sz w:val="18"/>
    </w:rPr>
  </w:style>
  <w:style w:type="paragraph" w:customStyle="1" w:styleId="286">
    <w:name w:val="正文A"/>
    <w:basedOn w:val="242"/>
    <w:qFormat/>
    <w:uiPriority w:val="0"/>
    <w:pPr>
      <w:tabs>
        <w:tab w:val="center" w:pos="3780"/>
        <w:tab w:val="left" w:pos="7140"/>
      </w:tabs>
      <w:spacing w:before="120"/>
      <w:ind w:right="196"/>
      <w:jc w:val="right"/>
    </w:pPr>
    <w:rPr>
      <w:rFonts w:eastAsia="宋体"/>
      <w:b/>
      <w:bCs/>
      <w:w w:val="95"/>
    </w:rPr>
  </w:style>
  <w:style w:type="paragraph" w:customStyle="1" w:styleId="287">
    <w:name w:val="font8"/>
    <w:basedOn w:val="1"/>
    <w:qFormat/>
    <w:uiPriority w:val="0"/>
    <w:pPr>
      <w:widowControl/>
      <w:spacing w:before="100" w:beforeAutospacing="1" w:after="100" w:afterAutospacing="1"/>
      <w:jc w:val="left"/>
    </w:pPr>
    <w:rPr>
      <w:rFonts w:hint="eastAsia" w:ascii="宋体" w:hAnsi="宋体" w:eastAsia="宋体" w:cs="Times New Roman"/>
      <w:b/>
      <w:bCs/>
      <w:kern w:val="0"/>
      <w:sz w:val="20"/>
      <w:szCs w:val="20"/>
      <w:u w:val="single"/>
    </w:rPr>
  </w:style>
  <w:style w:type="paragraph" w:customStyle="1" w:styleId="288">
    <w:name w:val="font9"/>
    <w:basedOn w:val="1"/>
    <w:qFormat/>
    <w:uiPriority w:val="0"/>
    <w:pPr>
      <w:widowControl/>
      <w:spacing w:before="100" w:beforeAutospacing="1" w:after="100" w:afterAutospacing="1"/>
      <w:jc w:val="left"/>
    </w:pPr>
    <w:rPr>
      <w:rFonts w:hint="eastAsia" w:ascii="宋体" w:hAnsi="宋体" w:eastAsia="宋体" w:cs="Times New Roman"/>
      <w:kern w:val="0"/>
      <w:sz w:val="20"/>
      <w:szCs w:val="20"/>
      <w:u w:val="single"/>
    </w:rPr>
  </w:style>
  <w:style w:type="paragraph" w:customStyle="1" w:styleId="289">
    <w:name w:val="font10"/>
    <w:basedOn w:val="1"/>
    <w:qFormat/>
    <w:uiPriority w:val="0"/>
    <w:pPr>
      <w:widowControl/>
      <w:spacing w:before="100" w:beforeAutospacing="1" w:after="100" w:afterAutospacing="1"/>
      <w:jc w:val="left"/>
    </w:pPr>
    <w:rPr>
      <w:rFonts w:ascii="Times New Roman" w:hAnsi="Times New Roman" w:eastAsia="宋体" w:cs="Times New Roman"/>
      <w:b/>
      <w:bCs/>
      <w:kern w:val="0"/>
      <w:sz w:val="20"/>
      <w:szCs w:val="20"/>
      <w:u w:val="single"/>
    </w:rPr>
  </w:style>
  <w:style w:type="paragraph" w:customStyle="1" w:styleId="290">
    <w:name w:val="font12"/>
    <w:basedOn w:val="1"/>
    <w:qFormat/>
    <w:uiPriority w:val="0"/>
    <w:pPr>
      <w:widowControl/>
      <w:spacing w:before="100" w:beforeAutospacing="1" w:after="100" w:afterAutospacing="1"/>
      <w:jc w:val="left"/>
    </w:pPr>
    <w:rPr>
      <w:rFonts w:ascii="Times New Roman" w:hAnsi="Times New Roman" w:eastAsia="宋体" w:cs="Times New Roman"/>
      <w:kern w:val="0"/>
      <w:sz w:val="20"/>
      <w:szCs w:val="20"/>
    </w:rPr>
  </w:style>
  <w:style w:type="paragraph" w:customStyle="1" w:styleId="291">
    <w:name w:val="xl22"/>
    <w:basedOn w:val="1"/>
    <w:qFormat/>
    <w:uiPriority w:val="0"/>
    <w:pPr>
      <w:widowControl/>
      <w:spacing w:before="100" w:beforeAutospacing="1" w:after="100" w:afterAutospacing="1"/>
      <w:jc w:val="center"/>
      <w:textAlignment w:val="center"/>
    </w:pPr>
    <w:rPr>
      <w:rFonts w:ascii="宋体" w:hAnsi="宋体" w:eastAsia="宋体" w:cs="Times New Roman"/>
      <w:b/>
      <w:bCs/>
      <w:kern w:val="0"/>
      <w:sz w:val="28"/>
      <w:szCs w:val="28"/>
    </w:rPr>
  </w:style>
  <w:style w:type="paragraph" w:customStyle="1" w:styleId="292">
    <w:name w:val="xl23"/>
    <w:basedOn w:val="1"/>
    <w:qFormat/>
    <w:uiPriority w:val="0"/>
    <w:pPr>
      <w:widowControl/>
      <w:spacing w:before="100" w:beforeAutospacing="1" w:after="100" w:afterAutospacing="1"/>
      <w:jc w:val="center"/>
      <w:textAlignment w:val="center"/>
    </w:pPr>
    <w:rPr>
      <w:rFonts w:hint="eastAsia" w:ascii="黑体" w:hAnsi="宋体" w:eastAsia="黑体" w:cs="Times New Roman"/>
      <w:kern w:val="0"/>
      <w:sz w:val="22"/>
    </w:rPr>
  </w:style>
  <w:style w:type="paragraph" w:customStyle="1" w:styleId="293">
    <w:name w:val="xl45"/>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pPr>
    <w:rPr>
      <w:rFonts w:ascii="宋体" w:hAnsi="宋体" w:eastAsia="宋体" w:cs="Times New Roman"/>
      <w:kern w:val="0"/>
      <w:sz w:val="20"/>
      <w:szCs w:val="20"/>
    </w:rPr>
  </w:style>
  <w:style w:type="paragraph" w:customStyle="1" w:styleId="294">
    <w:name w:val="xl4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eastAsia="宋体" w:cs="Times New Roman"/>
      <w:kern w:val="0"/>
      <w:sz w:val="20"/>
      <w:szCs w:val="20"/>
    </w:rPr>
  </w:style>
  <w:style w:type="paragraph" w:customStyle="1" w:styleId="295">
    <w:name w:val="xl47"/>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pPr>
    <w:rPr>
      <w:rFonts w:ascii="宋体" w:hAnsi="宋体" w:eastAsia="宋体" w:cs="Times New Roman"/>
      <w:kern w:val="0"/>
      <w:sz w:val="24"/>
      <w:szCs w:val="24"/>
    </w:rPr>
  </w:style>
  <w:style w:type="paragraph" w:customStyle="1" w:styleId="296">
    <w:name w:val="xl48"/>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Times New Roman"/>
      <w:kern w:val="0"/>
      <w:sz w:val="20"/>
      <w:szCs w:val="20"/>
    </w:rPr>
  </w:style>
  <w:style w:type="paragraph" w:customStyle="1" w:styleId="297">
    <w:name w:val="xl4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Times New Roman"/>
      <w:kern w:val="0"/>
      <w:sz w:val="20"/>
      <w:szCs w:val="20"/>
    </w:rPr>
  </w:style>
  <w:style w:type="paragraph" w:customStyle="1" w:styleId="298">
    <w:name w:val="xl5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Times New Roman"/>
      <w:kern w:val="0"/>
      <w:sz w:val="20"/>
      <w:szCs w:val="20"/>
    </w:rPr>
  </w:style>
  <w:style w:type="paragraph" w:customStyle="1" w:styleId="299">
    <w:name w:val="样式 三号 加粗 居中"/>
    <w:basedOn w:val="50"/>
    <w:qFormat/>
    <w:uiPriority w:val="0"/>
    <w:rPr>
      <w:rFonts w:eastAsia="宋体" w:cs="宋体"/>
      <w:b w:val="0"/>
      <w:bCs w:val="0"/>
    </w:rPr>
  </w:style>
  <w:style w:type="paragraph" w:customStyle="1" w:styleId="300">
    <w:name w:val="样式 章标题"/>
    <w:basedOn w:val="50"/>
    <w:qFormat/>
    <w:uiPriority w:val="0"/>
    <w:pPr>
      <w:tabs>
        <w:tab w:val="left" w:pos="1590"/>
      </w:tabs>
      <w:ind w:left="1590" w:hanging="1590"/>
    </w:pPr>
    <w:rPr>
      <w:rFonts w:eastAsia="宋体"/>
      <w:b w:val="0"/>
      <w:bCs w:val="0"/>
    </w:rPr>
  </w:style>
  <w:style w:type="paragraph" w:customStyle="1" w:styleId="301">
    <w:name w:val="样式 章标题 20 加粗 居中"/>
    <w:basedOn w:val="300"/>
    <w:qFormat/>
    <w:uiPriority w:val="0"/>
    <w:rPr>
      <w:rFonts w:cs="宋体"/>
      <w:b/>
      <w:bCs/>
      <w:sz w:val="40"/>
    </w:rPr>
  </w:style>
  <w:style w:type="paragraph" w:customStyle="1" w:styleId="302">
    <w:name w:val="样式 章标题 + 宋体 加粗 倾斜 黑色"/>
    <w:basedOn w:val="5"/>
    <w:qFormat/>
    <w:uiPriority w:val="0"/>
    <w:pPr>
      <w:keepNext w:val="0"/>
      <w:keepLines w:val="0"/>
      <w:adjustRightInd/>
      <w:spacing w:before="480" w:after="120"/>
      <w:textAlignment w:val="auto"/>
      <w:outlineLvl w:val="9"/>
    </w:pPr>
    <w:rPr>
      <w:i/>
      <w:iCs/>
      <w:color w:val="000000"/>
      <w:w w:val="80"/>
      <w:kern w:val="2"/>
      <w:sz w:val="40"/>
    </w:rPr>
  </w:style>
  <w:style w:type="paragraph" w:customStyle="1" w:styleId="303">
    <w:name w:val="样式 小标题 + 宋体 黑色 首行缩进:  0.74 厘米"/>
    <w:basedOn w:val="22"/>
    <w:qFormat/>
    <w:uiPriority w:val="0"/>
    <w:pPr>
      <w:spacing w:after="120" w:line="240" w:lineRule="auto"/>
      <w:ind w:firstLine="420"/>
    </w:pPr>
    <w:rPr>
      <w:rFonts w:ascii="宋体" w:hAnsi="宋体" w:cs="宋体"/>
      <w:b w:val="0"/>
      <w:bCs w:val="0"/>
      <w:color w:val="000000"/>
      <w:sz w:val="21"/>
      <w:szCs w:val="20"/>
    </w:rPr>
  </w:style>
  <w:style w:type="paragraph" w:customStyle="1" w:styleId="304">
    <w:name w:val="样式 小标题 + (中文) 宋体 加粗 黑色 段前: 0 磅 段后: 0 磅 行距: 多倍行距 1.25 字行"/>
    <w:basedOn w:val="247"/>
    <w:next w:val="22"/>
    <w:qFormat/>
    <w:uiPriority w:val="0"/>
    <w:pPr>
      <w:adjustRightInd w:val="0"/>
      <w:spacing w:before="0" w:after="0" w:line="300" w:lineRule="auto"/>
      <w:ind w:firstLine="422" w:firstLineChars="200"/>
      <w:jc w:val="both"/>
      <w:textAlignment w:val="baseline"/>
      <w:outlineLvl w:val="2"/>
    </w:pPr>
    <w:rPr>
      <w:rFonts w:ascii="黑体" w:eastAsia="宋体" w:cs="宋体"/>
      <w:bCs/>
      <w:color w:val="000000"/>
      <w:w w:val="100"/>
      <w:kern w:val="0"/>
    </w:rPr>
  </w:style>
  <w:style w:type="paragraph" w:customStyle="1" w:styleId="305">
    <w:name w:val="样式 小标题 + (中文) 宋体 加粗 黑色 段前: 0 磅 段后: 0 磅 行距: 多倍行距 1.25 字行1"/>
    <w:basedOn w:val="247"/>
    <w:next w:val="53"/>
    <w:qFormat/>
    <w:uiPriority w:val="0"/>
    <w:pPr>
      <w:adjustRightInd w:val="0"/>
      <w:spacing w:before="0" w:after="0" w:line="300" w:lineRule="auto"/>
      <w:ind w:firstLine="422" w:firstLineChars="200"/>
      <w:jc w:val="both"/>
      <w:textAlignment w:val="baseline"/>
      <w:outlineLvl w:val="2"/>
    </w:pPr>
    <w:rPr>
      <w:rFonts w:ascii="黑体" w:eastAsia="宋体" w:cs="宋体"/>
      <w:bCs/>
      <w:color w:val="000000"/>
      <w:w w:val="100"/>
      <w:kern w:val="0"/>
    </w:rPr>
  </w:style>
  <w:style w:type="paragraph" w:customStyle="1" w:styleId="306">
    <w:name w:val="样式 样式 小标题 + (中文) 宋体 加粗 黑色 段前: 0 磅 段后: 0 磅 行距: 多倍行距 1.25 字行1 + 非加..."/>
    <w:basedOn w:val="305"/>
    <w:next w:val="53"/>
    <w:qFormat/>
    <w:uiPriority w:val="0"/>
    <w:pPr>
      <w:ind w:firstLine="420"/>
    </w:pPr>
    <w:rPr>
      <w:b w:val="0"/>
      <w:bCs w:val="0"/>
    </w:rPr>
  </w:style>
  <w:style w:type="paragraph" w:customStyle="1" w:styleId="307">
    <w:name w:val="前言、引言标题"/>
    <w:next w:val="1"/>
    <w:qFormat/>
    <w:uiPriority w:val="0"/>
    <w:pPr>
      <w:shd w:val="clear" w:color="FFFFFF" w:fill="FFFFFF"/>
      <w:tabs>
        <w:tab w:val="left" w:pos="360"/>
        <w:tab w:val="left" w:pos="760"/>
      </w:tabs>
      <w:spacing w:before="640" w:after="560"/>
      <w:ind w:left="717" w:hanging="317"/>
      <w:jc w:val="center"/>
      <w:outlineLvl w:val="0"/>
    </w:pPr>
    <w:rPr>
      <w:rFonts w:ascii="黑体" w:hAnsi="Times New Roman" w:eastAsia="黑体" w:cs="Times New Roman"/>
      <w:sz w:val="32"/>
      <w:lang w:val="en-US" w:eastAsia="zh-CN" w:bidi="ar-SA"/>
    </w:rPr>
  </w:style>
  <w:style w:type="paragraph" w:customStyle="1" w:styleId="308">
    <w:name w:val="列项●（二级）"/>
    <w:qFormat/>
    <w:uiPriority w:val="0"/>
    <w:pPr>
      <w:tabs>
        <w:tab w:val="left" w:pos="360"/>
        <w:tab w:val="left" w:pos="840"/>
      </w:tabs>
      <w:jc w:val="both"/>
    </w:pPr>
    <w:rPr>
      <w:rFonts w:ascii="宋体" w:hAnsi="Times New Roman" w:eastAsia="宋体" w:cs="Times New Roman"/>
      <w:sz w:val="21"/>
      <w:lang w:val="en-US" w:eastAsia="zh-CN" w:bidi="ar-SA"/>
    </w:rPr>
  </w:style>
  <w:style w:type="paragraph" w:customStyle="1" w:styleId="309">
    <w:name w:val="二级条标题"/>
    <w:basedOn w:val="1"/>
    <w:next w:val="1"/>
    <w:qFormat/>
    <w:uiPriority w:val="0"/>
    <w:pPr>
      <w:widowControl/>
      <w:tabs>
        <w:tab w:val="left" w:pos="1680"/>
      </w:tabs>
      <w:ind w:left="1680" w:hanging="420"/>
      <w:jc w:val="left"/>
      <w:outlineLvl w:val="3"/>
    </w:pPr>
    <w:rPr>
      <w:rFonts w:ascii="Times New Roman" w:hAnsi="Times New Roman" w:eastAsia="黑体" w:cs="Times New Roman"/>
      <w:kern w:val="0"/>
      <w:szCs w:val="20"/>
    </w:rPr>
  </w:style>
  <w:style w:type="character" w:customStyle="1" w:styleId="310">
    <w:name w:val="fo Char"/>
    <w:qFormat/>
    <w:uiPriority w:val="0"/>
    <w:rPr>
      <w:rFonts w:eastAsia="宋体"/>
      <w:kern w:val="2"/>
      <w:sz w:val="18"/>
      <w:szCs w:val="18"/>
      <w:lang w:val="en-US" w:eastAsia="zh-CN" w:bidi="ar-SA"/>
    </w:rPr>
  </w:style>
  <w:style w:type="paragraph" w:styleId="311">
    <w:name w:val="Intense Quote"/>
    <w:basedOn w:val="1"/>
    <w:next w:val="1"/>
    <w:link w:val="312"/>
    <w:qFormat/>
    <w:uiPriority w:val="0"/>
    <w:pPr>
      <w:pBdr>
        <w:bottom w:val="single" w:color="4F81BD" w:sz="4" w:space="4"/>
      </w:pBdr>
      <w:spacing w:before="200" w:after="280"/>
      <w:ind w:left="936" w:right="936"/>
    </w:pPr>
    <w:rPr>
      <w:rFonts w:ascii="Times New Roman" w:hAnsi="Times New Roman" w:eastAsia="宋体" w:cs="Times New Roman"/>
      <w:b/>
      <w:bCs/>
      <w:i/>
      <w:iCs/>
      <w:color w:val="4F81BD"/>
      <w:szCs w:val="24"/>
    </w:rPr>
  </w:style>
  <w:style w:type="character" w:customStyle="1" w:styleId="312">
    <w:name w:val="明显引用 字符"/>
    <w:basedOn w:val="56"/>
    <w:link w:val="311"/>
    <w:qFormat/>
    <w:uiPriority w:val="0"/>
    <w:rPr>
      <w:rFonts w:ascii="Times New Roman" w:hAnsi="Times New Roman" w:eastAsia="宋体" w:cs="Times New Roman"/>
      <w:b/>
      <w:bCs/>
      <w:i/>
      <w:iCs/>
      <w:color w:val="4F81BD"/>
      <w:kern w:val="2"/>
      <w:sz w:val="21"/>
      <w:szCs w:val="24"/>
    </w:rPr>
  </w:style>
  <w:style w:type="character" w:customStyle="1" w:styleId="313">
    <w:name w:val="Char Char3"/>
    <w:qFormat/>
    <w:locked/>
    <w:uiPriority w:val="0"/>
    <w:rPr>
      <w:rFonts w:ascii="Arial" w:hAnsi="Arial" w:eastAsia="黑体"/>
      <w:b/>
      <w:bCs/>
      <w:kern w:val="2"/>
      <w:sz w:val="32"/>
      <w:szCs w:val="32"/>
      <w:lang w:val="en-US" w:eastAsia="zh-CN" w:bidi="ar-SA"/>
    </w:rPr>
  </w:style>
  <w:style w:type="character" w:customStyle="1" w:styleId="314">
    <w:name w:val="Char Char1"/>
    <w:qFormat/>
    <w:locked/>
    <w:uiPriority w:val="0"/>
    <w:rPr>
      <w:rFonts w:ascii="宋体" w:hAnsi="宋体" w:eastAsia="宋体"/>
      <w:kern w:val="2"/>
      <w:sz w:val="18"/>
      <w:szCs w:val="18"/>
      <w:lang w:val="en-US" w:eastAsia="zh-CN" w:bidi="ar-SA"/>
    </w:rPr>
  </w:style>
  <w:style w:type="character" w:customStyle="1" w:styleId="315">
    <w:name w:val="Char Char2"/>
    <w:qFormat/>
    <w:uiPriority w:val="0"/>
    <w:rPr>
      <w:rFonts w:eastAsia="宋体"/>
      <w:kern w:val="2"/>
      <w:sz w:val="18"/>
      <w:szCs w:val="18"/>
      <w:lang w:val="en-US" w:eastAsia="zh-CN" w:bidi="ar-SA"/>
    </w:rPr>
  </w:style>
  <w:style w:type="paragraph" w:customStyle="1" w:styleId="316">
    <w:name w:val="Char1 Char Char Char Char Char Char Char Char Char Char Char Char"/>
    <w:basedOn w:val="1"/>
    <w:qFormat/>
    <w:uiPriority w:val="0"/>
    <w:rPr>
      <w:rFonts w:ascii="仿宋_GB2312" w:hAnsi="Times New Roman" w:eastAsia="仿宋_GB2312" w:cs="Times New Roman"/>
      <w:b/>
      <w:sz w:val="32"/>
      <w:szCs w:val="32"/>
    </w:rPr>
  </w:style>
  <w:style w:type="character" w:customStyle="1" w:styleId="317">
    <w:name w:val="Char Char9"/>
    <w:qFormat/>
    <w:uiPriority w:val="0"/>
    <w:rPr>
      <w:rFonts w:eastAsia="宋体"/>
      <w:b/>
      <w:bCs/>
      <w:kern w:val="2"/>
      <w:sz w:val="24"/>
      <w:szCs w:val="24"/>
      <w:lang w:val="en-US" w:eastAsia="zh-CN" w:bidi="ar-SA"/>
    </w:rPr>
  </w:style>
  <w:style w:type="paragraph" w:customStyle="1" w:styleId="318">
    <w:name w:val="TOC 标题1"/>
    <w:basedOn w:val="2"/>
    <w:next w:val="1"/>
    <w:qFormat/>
    <w:uiPriority w:val="39"/>
    <w:pPr>
      <w:keepNext w:val="0"/>
      <w:keepLines w:val="0"/>
      <w:widowControl/>
      <w:spacing w:before="480" w:after="0" w:line="276" w:lineRule="auto"/>
      <w:jc w:val="left"/>
      <w:outlineLvl w:val="9"/>
    </w:pPr>
    <w:rPr>
      <w:rFonts w:ascii="Cambria" w:hAnsi="Cambria" w:eastAsia="宋体"/>
      <w:b w:val="0"/>
      <w:color w:val="365F91"/>
      <w:kern w:val="0"/>
      <w:sz w:val="44"/>
      <w:szCs w:val="28"/>
    </w:rPr>
  </w:style>
  <w:style w:type="character" w:customStyle="1" w:styleId="319">
    <w:name w:val="H2 Char1"/>
    <w:qFormat/>
    <w:uiPriority w:val="0"/>
    <w:rPr>
      <w:rFonts w:ascii="宋体" w:hAnsi="宋体" w:eastAsia="宋体"/>
      <w:b/>
      <w:bCs/>
      <w:sz w:val="24"/>
      <w:lang w:val="en-US" w:eastAsia="zh-CN" w:bidi="ar-SA"/>
    </w:rPr>
  </w:style>
  <w:style w:type="character" w:customStyle="1" w:styleId="320">
    <w:name w:val="EHPT Char1"/>
    <w:qFormat/>
    <w:uiPriority w:val="0"/>
    <w:rPr>
      <w:rFonts w:eastAsia="宋体"/>
      <w:b/>
      <w:bCs/>
      <w:kern w:val="2"/>
      <w:sz w:val="24"/>
      <w:szCs w:val="24"/>
      <w:lang w:val="en-US" w:eastAsia="zh-CN" w:bidi="ar-SA"/>
    </w:rPr>
  </w:style>
  <w:style w:type="character" w:customStyle="1" w:styleId="321">
    <w:name w:val="正文1"/>
    <w:qFormat/>
    <w:uiPriority w:val="0"/>
    <w:rPr>
      <w:rFonts w:hint="eastAsia" w:ascii="宋体" w:hAnsi="宋体" w:eastAsia="宋体"/>
      <w:color w:val="000000"/>
      <w:sz w:val="24"/>
      <w:szCs w:val="24"/>
    </w:rPr>
  </w:style>
  <w:style w:type="paragraph" w:customStyle="1" w:styleId="322">
    <w:name w:val="默认段落字体 Para Char Char Char Char Char Char Char Char Char"/>
    <w:basedOn w:val="1"/>
    <w:qFormat/>
    <w:uiPriority w:val="0"/>
    <w:rPr>
      <w:rFonts w:ascii="Tahoma" w:hAnsi="Tahoma" w:eastAsia="宋体" w:cs="Times New Roman"/>
      <w:sz w:val="24"/>
      <w:szCs w:val="20"/>
    </w:rPr>
  </w:style>
  <w:style w:type="character" w:customStyle="1" w:styleId="323">
    <w:name w:val="明显强调1"/>
    <w:basedOn w:val="56"/>
    <w:qFormat/>
    <w:uiPriority w:val="21"/>
    <w:rPr>
      <w:i/>
      <w:iCs/>
      <w:color w:val="5B9BD5" w:themeColor="accent1"/>
      <w14:textFill>
        <w14:solidFill>
          <w14:schemeClr w14:val="accent1"/>
        </w14:solidFill>
      </w14:textFill>
    </w:rPr>
  </w:style>
  <w:style w:type="character" w:customStyle="1" w:styleId="324">
    <w:name w:val="font31"/>
    <w:basedOn w:val="56"/>
    <w:qFormat/>
    <w:uiPriority w:val="0"/>
    <w:rPr>
      <w:rFonts w:hint="eastAsia" w:ascii="宋体" w:hAnsi="宋体" w:eastAsia="宋体" w:cs="宋体"/>
      <w:color w:val="000000"/>
      <w:sz w:val="20"/>
      <w:szCs w:val="20"/>
      <w:u w:val="none"/>
    </w:rPr>
  </w:style>
  <w:style w:type="paragraph" w:customStyle="1" w:styleId="325">
    <w:name w:val="表格文字"/>
    <w:basedOn w:val="1"/>
    <w:qFormat/>
    <w:uiPriority w:val="99"/>
    <w:pPr>
      <w:spacing w:before="25" w:after="25"/>
    </w:pPr>
    <w:rPr>
      <w:rFonts w:ascii="Times New Roman" w:hAnsi="Times New Roman" w:eastAsia="宋体" w:cs="Times New Roman"/>
      <w:spacing w:val="10"/>
      <w:sz w:val="24"/>
      <w:szCs w:val="24"/>
    </w:rPr>
  </w:style>
  <w:style w:type="character" w:customStyle="1" w:styleId="326">
    <w:name w:val="font71"/>
    <w:basedOn w:val="56"/>
    <w:qFormat/>
    <w:uiPriority w:val="0"/>
    <w:rPr>
      <w:rFonts w:hint="eastAsia" w:ascii="宋体" w:hAnsi="宋体" w:eastAsia="宋体" w:cs="宋体"/>
      <w:color w:val="000000"/>
      <w:sz w:val="24"/>
      <w:szCs w:val="24"/>
      <w:u w:val="none"/>
      <w:vertAlign w:val="superscript"/>
    </w:rPr>
  </w:style>
  <w:style w:type="character" w:customStyle="1" w:styleId="327">
    <w:name w:val="font21"/>
    <w:basedOn w:val="56"/>
    <w:qFormat/>
    <w:uiPriority w:val="0"/>
    <w:rPr>
      <w:rFonts w:hint="eastAsia" w:ascii="宋体" w:hAnsi="宋体" w:eastAsia="宋体" w:cs="宋体"/>
      <w:color w:val="000000"/>
      <w:sz w:val="21"/>
      <w:szCs w:val="21"/>
      <w:u w:val="none"/>
    </w:rPr>
  </w:style>
  <w:style w:type="character" w:customStyle="1" w:styleId="328">
    <w:name w:val="font51"/>
    <w:basedOn w:val="56"/>
    <w:qFormat/>
    <w:uiPriority w:val="0"/>
    <w:rPr>
      <w:rFonts w:hint="eastAsia" w:ascii="宋体" w:hAnsi="宋体" w:eastAsia="宋体" w:cs="宋体"/>
      <w:b/>
      <w:bCs/>
      <w:color w:val="FF0000"/>
      <w:sz w:val="21"/>
      <w:szCs w:val="21"/>
      <w:u w:val="none"/>
    </w:rPr>
  </w:style>
  <w:style w:type="character" w:customStyle="1" w:styleId="329">
    <w:name w:val="font01"/>
    <w:basedOn w:val="56"/>
    <w:qFormat/>
    <w:uiPriority w:val="0"/>
    <w:rPr>
      <w:rFonts w:hint="eastAsia" w:ascii="宋体" w:hAnsi="宋体" w:eastAsia="宋体" w:cs="宋体"/>
      <w:color w:val="000000"/>
      <w:sz w:val="24"/>
      <w:szCs w:val="24"/>
      <w:u w:val="none"/>
    </w:rPr>
  </w:style>
  <w:style w:type="paragraph" w:customStyle="1" w:styleId="330">
    <w:name w:val="_Style 3"/>
    <w:basedOn w:val="1"/>
    <w:qFormat/>
    <w:uiPriority w:val="0"/>
    <w:pPr>
      <w:widowControl/>
      <w:spacing w:after="160" w:line="240" w:lineRule="exact"/>
      <w:jc w:val="left"/>
    </w:pPr>
    <w:rPr>
      <w:rFonts w:ascii="Verdana" w:hAnsi="Verdana" w:eastAsia="宋体" w:cs="Times New Roman"/>
      <w:kern w:val="0"/>
      <w:sz w:val="20"/>
      <w:szCs w:val="20"/>
      <w:lang w:eastAsia="en-US"/>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69C19A-2B5E-40C4-98B9-81E8DEFCDD28}">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61</Pages>
  <Words>31714</Words>
  <Characters>32984</Characters>
  <Lines>260</Lines>
  <Paragraphs>73</Paragraphs>
  <TotalTime>2</TotalTime>
  <ScaleCrop>false</ScaleCrop>
  <LinksUpToDate>false</LinksUpToDate>
  <CharactersWithSpaces>35103</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2018-08-06T07:55:00Z</dcterms:created>
  <dc:creator>刘玉兰</dc:creator>
  <cp:lastModifiedBy>韩丹</cp:lastModifiedBy>
  <cp:lastPrinted>2017-05-08T06:28:00Z</cp:lastPrinted>
  <dcterms:modified xsi:type="dcterms:W3CDTF">2024-06-20T00:52:42Z</dcterms:modified>
  <cp:revision>1477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A15EFD0FCCFE4987808BA138FB70F903_13</vt:lpwstr>
  </property>
</Properties>
</file>