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
      <w:pPr>
        <w:jc w:val="center"/>
        <w:rPr>
          <w:color w:val="0000FF"/>
          <w:sz w:val="56"/>
        </w:rPr>
      </w:pPr>
      <w:bookmarkStart w:id="0" w:name="OLE_LINK3"/>
    </w:p>
    <w:p>
      <w:pPr>
        <w:jc w:val="center"/>
        <w:rPr>
          <w:color w:val="0000FF"/>
          <w:sz w:val="56"/>
        </w:rPr>
      </w:pPr>
      <w:bookmarkStart w:id="1" w:name="OLE_LINK2"/>
      <w:bookmarkStart w:id="2" w:name="OLE_LINK1"/>
      <w:r>
        <w:rPr>
          <w:rFonts w:hint="eastAsia"/>
          <w:color w:val="0000FF"/>
          <w:sz w:val="56"/>
        </w:rPr>
        <w:t>爱科来糖化血红蛋白分析仪HA-8190V的配套试剂</w:t>
      </w:r>
    </w:p>
    <w:p>
      <w:pPr>
        <w:jc w:val="center"/>
        <w:rPr>
          <w:color w:val="0000FF"/>
          <w:sz w:val="56"/>
        </w:rPr>
      </w:pPr>
    </w:p>
    <w:bookmarkEnd w:id="0"/>
    <w:p>
      <w:pPr>
        <w:jc w:val="center"/>
        <w:rPr>
          <w:b/>
          <w:color w:val="000000"/>
          <w:sz w:val="90"/>
        </w:rPr>
      </w:pPr>
      <w:r>
        <w:rPr>
          <w:rFonts w:hint="eastAsia"/>
          <w:b/>
          <w:color w:val="000000"/>
          <w:sz w:val="90"/>
        </w:rPr>
        <w:t>采购文件</w:t>
      </w:r>
    </w:p>
    <w:p>
      <w:pPr>
        <w:jc w:val="center"/>
        <w:rPr>
          <w:color w:val="000000"/>
          <w:sz w:val="30"/>
        </w:rPr>
      </w:pPr>
      <w:r>
        <w:rPr>
          <w:rFonts w:hint="eastAsia"/>
          <w:color w:val="000000"/>
          <w:sz w:val="30"/>
        </w:rPr>
        <w:t>（采购编号：</w:t>
      </w:r>
      <w:r>
        <w:rPr>
          <w:rFonts w:hint="eastAsia"/>
          <w:color w:val="000000"/>
          <w:sz w:val="28"/>
        </w:rPr>
        <w:t>SUGHCG2022014HC</w:t>
      </w:r>
      <w:r>
        <w:rPr>
          <w:rFonts w:hint="eastAsia"/>
          <w:color w:val="000000"/>
          <w:sz w:val="30"/>
        </w:rPr>
        <w:t>）</w:t>
      </w:r>
    </w:p>
    <w:bookmarkEnd w:id="1"/>
    <w:bookmarkEnd w:id="2"/>
    <w:p>
      <w:pPr>
        <w:jc w:val="center"/>
        <w:rPr>
          <w:color w:val="000000"/>
          <w:sz w:val="90"/>
        </w:rPr>
      </w:pPr>
    </w:p>
    <w:p>
      <w:pPr>
        <w:jc w:val="center"/>
        <w:rPr>
          <w:color w:val="000000"/>
          <w:sz w:val="90"/>
        </w:rPr>
      </w:pPr>
    </w:p>
    <w:p>
      <w:pPr>
        <w:jc w:val="center"/>
        <w:rPr>
          <w:color w:val="000000"/>
          <w:sz w:val="90"/>
        </w:rPr>
      </w:pPr>
    </w:p>
    <w:p>
      <w:pPr>
        <w:jc w:val="center"/>
        <w:rPr>
          <w:color w:val="000000"/>
          <w:sz w:val="90"/>
        </w:rPr>
      </w:pPr>
    </w:p>
    <w:p>
      <w:pPr>
        <w:jc w:val="center"/>
        <w:rPr>
          <w:color w:val="000000"/>
          <w:sz w:val="30"/>
        </w:rPr>
      </w:pPr>
      <w:r>
        <w:rPr>
          <w:rFonts w:hint="eastAsia"/>
          <w:color w:val="000000"/>
          <w:sz w:val="30"/>
        </w:rPr>
        <w:t>深圳大学总医院招投标管理办公室</w:t>
      </w:r>
    </w:p>
    <w:p>
      <w:pPr>
        <w:jc w:val="center"/>
        <w:rPr>
          <w:rFonts w:ascii="华文新魏" w:eastAsia="华文新魏"/>
          <w:b/>
          <w:color w:val="000000"/>
          <w:sz w:val="48"/>
        </w:rPr>
      </w:pPr>
      <w:r>
        <w:rPr>
          <w:rFonts w:hint="eastAsia"/>
          <w:color w:val="000000"/>
          <w:sz w:val="30"/>
        </w:rPr>
        <w:t>二〇二二年六月</w:t>
      </w:r>
      <w:r>
        <w:rPr>
          <w:color w:val="000000"/>
          <w:sz w:val="30"/>
        </w:rPr>
        <w:br w:type="page"/>
      </w:r>
      <w:r>
        <w:rPr>
          <w:rFonts w:hint="eastAsia" w:ascii="华文新魏" w:eastAsia="华文新魏"/>
          <w:b/>
          <w:color w:val="000000"/>
          <w:sz w:val="48"/>
        </w:rPr>
        <w:t>谈判邀请书</w:t>
      </w:r>
    </w:p>
    <w:p>
      <w:pPr>
        <w:spacing w:before="156" w:beforeLines="50"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深圳市深医科技有限公司：</w:t>
      </w:r>
    </w:p>
    <w:p>
      <w:pPr>
        <w:spacing w:before="156" w:beforeLines="50" w:line="360" w:lineRule="auto"/>
        <w:ind w:firstLine="480" w:firstLineChars="200"/>
        <w:jc w:val="left"/>
        <w:rPr>
          <w:color w:val="000000" w:themeColor="text1"/>
          <w:sz w:val="24"/>
          <w:szCs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经深圳大学总医院批准，现就 </w:t>
      </w:r>
      <w:r>
        <w:rPr>
          <w:rFonts w:hint="eastAsia"/>
          <w:color w:val="000000" w:themeColor="text1"/>
          <w:sz w:val="24"/>
          <w:szCs w:val="24"/>
          <w14:textFill>
            <w14:solidFill>
              <w14:schemeClr w14:val="tx1"/>
            </w14:solidFill>
          </w14:textFill>
        </w:rPr>
        <w:t xml:space="preserve">爱科来糖化血红蛋白分析仪HA-8190V的配套试剂 </w:t>
      </w:r>
      <w:r>
        <w:rPr>
          <w:rFonts w:hint="eastAsia" w:ascii="宋体" w:hAnsi="宋体"/>
          <w:color w:val="000000" w:themeColor="text1"/>
          <w:sz w:val="24"/>
          <w14:textFill>
            <w14:solidFill>
              <w14:schemeClr w14:val="tx1"/>
            </w14:solidFill>
          </w14:textFill>
        </w:rPr>
        <w:t>项目进行单一来源谈判，欢迎贵公司参加</w:t>
      </w:r>
      <w:r>
        <w:rPr>
          <w:rFonts w:ascii="宋体" w:hAnsi="宋体"/>
          <w:color w:val="000000" w:themeColor="text1"/>
          <w:sz w:val="24"/>
          <w14:textFill>
            <w14:solidFill>
              <w14:schemeClr w14:val="tx1"/>
            </w14:solidFill>
          </w14:textFill>
        </w:rPr>
        <w:t>，具体事项如下：</w:t>
      </w:r>
    </w:p>
    <w:p>
      <w:pPr>
        <w:spacing w:before="156" w:beforeLines="50"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 xml:space="preserve"> 采购</w:t>
      </w:r>
      <w:r>
        <w:rPr>
          <w:rFonts w:ascii="宋体" w:hAnsi="宋体"/>
          <w:color w:val="000000" w:themeColor="text1"/>
          <w:sz w:val="24"/>
          <w14:textFill>
            <w14:solidFill>
              <w14:schemeClr w14:val="tx1"/>
            </w14:solidFill>
          </w14:textFill>
        </w:rPr>
        <w:t>编号：SUGHCG2022014HC</w:t>
      </w:r>
    </w:p>
    <w:p>
      <w:pPr>
        <w:spacing w:before="156" w:beforeLines="50"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 项目名称：</w:t>
      </w:r>
      <w:r>
        <w:rPr>
          <w:rFonts w:hint="eastAsia"/>
          <w:color w:val="000000" w:themeColor="text1"/>
          <w:sz w:val="24"/>
          <w:szCs w:val="24"/>
          <w14:textFill>
            <w14:solidFill>
              <w14:schemeClr w14:val="tx1"/>
            </w14:solidFill>
          </w14:textFill>
        </w:rPr>
        <w:t>爱科来糖化血红蛋白分析仪HA-8190V的配套试剂</w:t>
      </w:r>
    </w:p>
    <w:p>
      <w:pPr>
        <w:spacing w:before="156" w:beforeLines="50"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 预算单价汇总限额：</w:t>
      </w:r>
      <w:r>
        <w:rPr>
          <w:rFonts w:ascii="宋体" w:hAnsi="宋体"/>
          <w:bCs/>
          <w:color w:val="000000" w:themeColor="text1"/>
          <w:szCs w:val="21"/>
          <w14:textFill>
            <w14:solidFill>
              <w14:schemeClr w14:val="tx1"/>
            </w14:solidFill>
          </w14:textFill>
        </w:rPr>
        <w:t>61013元</w:t>
      </w:r>
      <w:r>
        <w:rPr>
          <w:rFonts w:hint="eastAsia" w:ascii="宋体" w:hAnsi="宋体"/>
          <w:color w:val="000000" w:themeColor="text1"/>
          <w:sz w:val="24"/>
          <w14:textFill>
            <w14:solidFill>
              <w14:schemeClr w14:val="tx1"/>
            </w14:solidFill>
          </w14:textFill>
        </w:rPr>
        <w:t>（人民币）。</w:t>
      </w:r>
    </w:p>
    <w:p>
      <w:pPr>
        <w:spacing w:before="156" w:beforeLines="50"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4. </w:t>
      </w:r>
      <w:r>
        <w:rPr>
          <w:rFonts w:hint="eastAsia" w:ascii="宋体" w:hAnsi="宋体"/>
          <w:color w:val="000000" w:themeColor="text1"/>
          <w:sz w:val="24"/>
          <w14:textFill>
            <w14:solidFill>
              <w14:schemeClr w14:val="tx1"/>
            </w14:solidFill>
          </w14:textFill>
        </w:rPr>
        <w:t>谈判邀请对象：</w:t>
      </w:r>
      <w:bookmarkStart w:id="3" w:name="OLE_LINK8"/>
      <w:bookmarkStart w:id="4" w:name="OLE_LINK9"/>
      <w:bookmarkStart w:id="5" w:name="OLE_LINK10"/>
      <w:r>
        <w:rPr>
          <w:rFonts w:hint="eastAsia" w:ascii="宋体" w:hAnsi="宋体"/>
          <w:color w:val="FF0000"/>
          <w:sz w:val="24"/>
        </w:rPr>
        <w:t>深圳市深医科技有限公司</w:t>
      </w:r>
    </w:p>
    <w:bookmarkEnd w:id="3"/>
    <w:bookmarkEnd w:id="4"/>
    <w:bookmarkEnd w:id="5"/>
    <w:p>
      <w:pPr>
        <w:spacing w:before="156" w:beforeLines="50" w:line="360" w:lineRule="auto"/>
        <w:jc w:val="left"/>
        <w:rPr>
          <w:rFonts w:cs="宋体"/>
          <w:color w:val="FF0000"/>
          <w:kern w:val="0"/>
          <w:sz w:val="24"/>
          <w:szCs w:val="24"/>
        </w:rPr>
      </w:pPr>
      <w:r>
        <w:rPr>
          <w:rFonts w:hint="eastAsia" w:ascii="宋体" w:hAnsi="宋体"/>
          <w:color w:val="000000"/>
          <w:sz w:val="24"/>
        </w:rPr>
        <w:t xml:space="preserve">5. </w:t>
      </w:r>
      <w:r>
        <w:rPr>
          <w:rFonts w:hint="eastAsia" w:cs="宋体"/>
          <w:color w:val="222222"/>
          <w:kern w:val="0"/>
          <w:sz w:val="24"/>
          <w:szCs w:val="24"/>
        </w:rPr>
        <w:t>报名时</w:t>
      </w:r>
      <w:r>
        <w:rPr>
          <w:rFonts w:hint="eastAsia" w:ascii="宋体" w:hAnsi="宋体"/>
          <w:color w:val="000000" w:themeColor="text1"/>
          <w:sz w:val="24"/>
          <w14:textFill>
            <w14:solidFill>
              <w14:schemeClr w14:val="tx1"/>
            </w14:solidFill>
          </w14:textFill>
        </w:rPr>
        <w:t>投标人</w:t>
      </w:r>
      <w:r>
        <w:rPr>
          <w:rFonts w:hint="eastAsia" w:cs="宋体"/>
          <w:color w:val="222222"/>
          <w:kern w:val="0"/>
          <w:sz w:val="24"/>
          <w:szCs w:val="24"/>
        </w:rPr>
        <w:t>须自行打印投标报名表(加盖公章)(投标报名表下载链接：</w:t>
      </w:r>
      <w:r>
        <w:rPr>
          <w:rFonts w:cs="宋体"/>
          <w:color w:val="222222"/>
          <w:kern w:val="0"/>
          <w:sz w:val="24"/>
          <w:szCs w:val="24"/>
        </w:rPr>
        <w:t>https://sugh.szu.edu.cn/Html/News/Articles/3230.html</w:t>
      </w:r>
      <w:r>
        <w:rPr>
          <w:rFonts w:hint="eastAsia" w:cs="宋体"/>
          <w:color w:val="222222"/>
          <w:kern w:val="0"/>
          <w:sz w:val="24"/>
          <w:szCs w:val="24"/>
        </w:rPr>
        <w:t>），并</w:t>
      </w:r>
      <w:r>
        <w:rPr>
          <w:rFonts w:hint="eastAsia" w:cs="宋体"/>
          <w:color w:val="FF0000"/>
          <w:kern w:val="0"/>
          <w:sz w:val="24"/>
          <w:szCs w:val="24"/>
        </w:rPr>
        <w:t>在开标前将公司营业执照原件、投标报名表（签名盖章）扫描件发至邮箱：</w:t>
      </w:r>
      <w:r>
        <w:fldChar w:fldCharType="begin"/>
      </w:r>
      <w:r>
        <w:instrText xml:space="preserve"> HYPERLINK "mailto:sughztb@szu.edu.cn" </w:instrText>
      </w:r>
      <w:r>
        <w:fldChar w:fldCharType="separate"/>
      </w:r>
      <w:r>
        <w:rPr>
          <w:rStyle w:val="21"/>
          <w:rFonts w:cs="宋体"/>
          <w:kern w:val="0"/>
          <w:sz w:val="24"/>
          <w:szCs w:val="24"/>
        </w:rPr>
        <w:t>sughztb@szu.edu.cn</w:t>
      </w:r>
      <w:r>
        <w:rPr>
          <w:rStyle w:val="21"/>
          <w:rFonts w:cs="宋体"/>
          <w:kern w:val="0"/>
          <w:sz w:val="24"/>
          <w:szCs w:val="24"/>
        </w:rPr>
        <w:fldChar w:fldCharType="end"/>
      </w:r>
      <w:r>
        <w:rPr>
          <w:rFonts w:hint="eastAsia" w:cs="宋体"/>
          <w:color w:val="FF0000"/>
          <w:kern w:val="0"/>
          <w:sz w:val="24"/>
          <w:szCs w:val="24"/>
        </w:rPr>
        <w:t>。</w:t>
      </w:r>
    </w:p>
    <w:p>
      <w:pPr>
        <w:spacing w:line="360" w:lineRule="auto"/>
        <w:ind w:firstLine="480" w:firstLineChars="200"/>
        <w:jc w:val="left"/>
        <w:rPr>
          <w:rFonts w:cs="宋体"/>
          <w:color w:val="222222"/>
          <w:kern w:val="0"/>
          <w:sz w:val="24"/>
          <w:szCs w:val="24"/>
        </w:rPr>
      </w:pPr>
      <w:r>
        <w:rPr>
          <w:rFonts w:hint="eastAsia"/>
          <w:color w:val="FF0000"/>
          <w:sz w:val="24"/>
          <w:szCs w:val="24"/>
          <w:shd w:val="clear" w:color="auto" w:fill="FFFFFF"/>
        </w:rPr>
        <w:t>备注：邮件</w:t>
      </w:r>
      <w:r>
        <w:rPr>
          <w:rFonts w:hint="eastAsia" w:cs="宋体"/>
          <w:color w:val="FF0000"/>
          <w:kern w:val="0"/>
          <w:sz w:val="24"/>
          <w:szCs w:val="24"/>
        </w:rPr>
        <w:t>“主题”</w:t>
      </w:r>
      <w:r>
        <w:rPr>
          <w:rFonts w:hint="eastAsia"/>
          <w:color w:val="FF0000"/>
          <w:sz w:val="24"/>
          <w:szCs w:val="24"/>
          <w:shd w:val="clear" w:color="auto" w:fill="FFFFFF"/>
        </w:rPr>
        <w:t>命名方式为</w:t>
      </w:r>
      <w:r>
        <w:rPr>
          <w:rFonts w:hint="eastAsia" w:ascii="微软雅黑" w:hAnsi="微软雅黑" w:eastAsia="微软雅黑"/>
          <w:color w:val="FF0000"/>
          <w:sz w:val="24"/>
          <w:szCs w:val="24"/>
          <w:shd w:val="clear" w:color="auto" w:fill="FFFFFF"/>
        </w:rPr>
        <w:t>  </w:t>
      </w:r>
      <w:r>
        <w:rPr>
          <w:rFonts w:hint="eastAsia"/>
          <w:color w:val="FF0000"/>
          <w:sz w:val="24"/>
          <w:szCs w:val="24"/>
          <w:shd w:val="clear" w:color="auto" w:fill="FFFFFF"/>
        </w:rPr>
        <w:t>项目名称</w:t>
      </w:r>
      <w:r>
        <w:rPr>
          <w:rFonts w:hint="eastAsia" w:ascii="微软雅黑" w:hAnsi="微软雅黑" w:eastAsia="微软雅黑"/>
          <w:color w:val="FF0000"/>
          <w:sz w:val="24"/>
          <w:szCs w:val="24"/>
          <w:shd w:val="clear" w:color="auto" w:fill="FFFFFF"/>
        </w:rPr>
        <w:t>+</w:t>
      </w:r>
      <w:r>
        <w:rPr>
          <w:rFonts w:hint="eastAsia"/>
          <w:color w:val="FF0000"/>
          <w:sz w:val="24"/>
          <w:szCs w:val="24"/>
          <w:shd w:val="clear" w:color="auto" w:fill="FFFFFF"/>
        </w:rPr>
        <w:t>投标公司名称</w:t>
      </w:r>
      <w:r>
        <w:rPr>
          <w:rFonts w:hint="eastAsia" w:ascii="微软雅黑" w:hAnsi="微软雅黑" w:eastAsia="微软雅黑"/>
          <w:color w:val="FF0000"/>
          <w:sz w:val="24"/>
          <w:szCs w:val="24"/>
          <w:shd w:val="clear" w:color="auto" w:fill="FFFFFF"/>
        </w:rPr>
        <w:t>+</w:t>
      </w:r>
      <w:r>
        <w:rPr>
          <w:rFonts w:hint="eastAsia"/>
          <w:color w:val="FF0000"/>
          <w:sz w:val="24"/>
          <w:szCs w:val="24"/>
          <w:shd w:val="clear" w:color="auto" w:fill="FFFFFF"/>
        </w:rPr>
        <w:t>联系人</w:t>
      </w:r>
      <w:r>
        <w:rPr>
          <w:rFonts w:hint="eastAsia" w:ascii="微软雅黑" w:hAnsi="微软雅黑" w:eastAsia="微软雅黑"/>
          <w:color w:val="FF0000"/>
          <w:sz w:val="24"/>
          <w:szCs w:val="24"/>
          <w:shd w:val="clear" w:color="auto" w:fill="FFFFFF"/>
        </w:rPr>
        <w:t>+</w:t>
      </w:r>
      <w:r>
        <w:rPr>
          <w:rFonts w:hint="eastAsia"/>
          <w:color w:val="FF0000"/>
          <w:sz w:val="24"/>
          <w:szCs w:val="24"/>
          <w:shd w:val="clear" w:color="auto" w:fill="FFFFFF"/>
        </w:rPr>
        <w:t>电话，单个项目发送单次邮件，不</w:t>
      </w:r>
      <w:r>
        <w:rPr>
          <w:rFonts w:hint="eastAsia" w:ascii="宋体" w:hAnsi="宋体"/>
          <w:color w:val="FF0000"/>
          <w:sz w:val="24"/>
          <w:szCs w:val="24"/>
        </w:rPr>
        <w:t>接受</w:t>
      </w:r>
      <w:r>
        <w:rPr>
          <w:rFonts w:hint="eastAsia"/>
          <w:color w:val="FF0000"/>
          <w:sz w:val="24"/>
          <w:szCs w:val="24"/>
          <w:shd w:val="clear" w:color="auto" w:fill="FFFFFF"/>
        </w:rPr>
        <w:t>两个项目汇总报名，未按此格式要求的，视为报名不成功。</w:t>
      </w:r>
    </w:p>
    <w:p>
      <w:pPr>
        <w:spacing w:before="156" w:beforeLines="50" w:line="360" w:lineRule="auto"/>
        <w:jc w:val="left"/>
        <w:rPr>
          <w:rFonts w:ascii="宋体" w:hAnsi="宋体"/>
          <w:color w:val="000000"/>
          <w:sz w:val="24"/>
        </w:rPr>
      </w:pPr>
      <w:r>
        <w:rPr>
          <w:rFonts w:hint="eastAsia" w:ascii="宋体" w:hAnsi="宋体"/>
          <w:color w:val="000000"/>
          <w:sz w:val="24"/>
        </w:rPr>
        <w:t>6</w:t>
      </w:r>
      <w:r>
        <w:rPr>
          <w:rFonts w:ascii="宋体" w:hAnsi="宋体"/>
          <w:color w:val="000000"/>
          <w:sz w:val="24"/>
        </w:rPr>
        <w:t>.</w:t>
      </w:r>
      <w:r>
        <w:rPr>
          <w:rFonts w:hint="eastAsia" w:ascii="宋体" w:hAnsi="宋体"/>
          <w:color w:val="000000"/>
          <w:sz w:val="24"/>
        </w:rPr>
        <w:t xml:space="preserve"> </w:t>
      </w:r>
      <w:r>
        <w:rPr>
          <w:rFonts w:hint="eastAsia" w:ascii="宋体" w:hAnsi="宋体"/>
          <w:color w:val="FF0000"/>
          <w:sz w:val="24"/>
        </w:rPr>
        <w:t>谈判</w:t>
      </w:r>
      <w:r>
        <w:rPr>
          <w:rFonts w:ascii="宋体" w:hAnsi="宋体"/>
          <w:color w:val="FF0000"/>
          <w:sz w:val="24"/>
        </w:rPr>
        <w:t>时间：2022年6月</w:t>
      </w:r>
      <w:r>
        <w:rPr>
          <w:rFonts w:hint="eastAsia" w:ascii="宋体" w:hAnsi="宋体"/>
          <w:color w:val="FF0000"/>
          <w:sz w:val="24"/>
          <w:lang w:val="en-US" w:eastAsia="zh-CN"/>
        </w:rPr>
        <w:t>24</w:t>
      </w:r>
      <w:bookmarkStart w:id="14" w:name="_GoBack"/>
      <w:bookmarkEnd w:id="14"/>
      <w:r>
        <w:rPr>
          <w:rFonts w:ascii="宋体" w:hAnsi="宋体"/>
          <w:color w:val="FF0000"/>
          <w:sz w:val="24"/>
        </w:rPr>
        <w:t>日</w:t>
      </w:r>
      <w:r>
        <w:rPr>
          <w:rFonts w:hint="eastAsia" w:ascii="宋体" w:hAnsi="宋体"/>
          <w:color w:val="FF0000"/>
          <w:sz w:val="24"/>
        </w:rPr>
        <w:t>9</w:t>
      </w:r>
      <w:r>
        <w:rPr>
          <w:rFonts w:ascii="宋体" w:hAnsi="宋体"/>
          <w:color w:val="FF0000"/>
          <w:sz w:val="24"/>
        </w:rPr>
        <w:t>:00 （北京时间）</w:t>
      </w:r>
    </w:p>
    <w:p>
      <w:pPr>
        <w:spacing w:before="156" w:beforeLines="50"/>
        <w:jc w:val="left"/>
        <w:rPr>
          <w:rFonts w:ascii="宋体" w:hAnsi="宋体"/>
          <w:color w:val="000000"/>
          <w:sz w:val="24"/>
        </w:rPr>
      </w:pPr>
      <w:r>
        <w:rPr>
          <w:rFonts w:hint="eastAsia" w:ascii="宋体" w:hAnsi="宋体"/>
          <w:color w:val="000000"/>
          <w:sz w:val="24"/>
        </w:rPr>
        <w:t>7</w:t>
      </w:r>
      <w:r>
        <w:rPr>
          <w:rFonts w:ascii="宋体" w:hAnsi="宋体"/>
          <w:color w:val="000000"/>
          <w:sz w:val="24"/>
        </w:rPr>
        <w:t xml:space="preserve">. </w:t>
      </w:r>
      <w:r>
        <w:rPr>
          <w:rFonts w:hint="eastAsia" w:ascii="宋体" w:hAnsi="宋体"/>
          <w:color w:val="000000"/>
          <w:sz w:val="24"/>
        </w:rPr>
        <w:t>谈判</w:t>
      </w:r>
      <w:r>
        <w:rPr>
          <w:rFonts w:ascii="宋体" w:hAnsi="宋体"/>
          <w:color w:val="000000"/>
          <w:sz w:val="24"/>
        </w:rPr>
        <w:t>地点：深圳大学</w:t>
      </w:r>
      <w:r>
        <w:rPr>
          <w:rFonts w:hint="eastAsia" w:ascii="宋体" w:hAnsi="宋体"/>
          <w:color w:val="000000"/>
          <w:sz w:val="24"/>
        </w:rPr>
        <w:t>总医院教学楼一楼招投标管理办公室</w:t>
      </w:r>
      <w:r>
        <w:rPr>
          <w:rFonts w:ascii="宋体" w:hAnsi="宋体"/>
          <w:color w:val="000000"/>
          <w:sz w:val="24"/>
        </w:rPr>
        <w:t>104室。</w:t>
      </w:r>
      <w:r>
        <w:rPr>
          <w:rFonts w:hint="eastAsia" w:ascii="宋体" w:hAnsi="宋体"/>
          <w:color w:val="000000"/>
          <w:sz w:val="24"/>
        </w:rPr>
        <w:t>谈判</w:t>
      </w:r>
      <w:r>
        <w:rPr>
          <w:rFonts w:ascii="宋体" w:hAnsi="宋体"/>
          <w:color w:val="000000"/>
          <w:sz w:val="24"/>
        </w:rPr>
        <w:t>书直接送至开标室104。</w:t>
      </w:r>
    </w:p>
    <w:p>
      <w:pPr>
        <w:spacing w:before="156" w:beforeLines="50"/>
        <w:jc w:val="right"/>
        <w:rPr>
          <w:rFonts w:ascii="宋体" w:hAnsi="宋体"/>
          <w:color w:val="000000"/>
          <w:sz w:val="24"/>
        </w:rPr>
      </w:pPr>
    </w:p>
    <w:p>
      <w:pPr>
        <w:spacing w:before="156" w:beforeLines="50"/>
        <w:jc w:val="right"/>
        <w:rPr>
          <w:rFonts w:ascii="宋体" w:hAnsi="宋体"/>
          <w:color w:val="000000"/>
          <w:sz w:val="24"/>
        </w:rPr>
      </w:pPr>
      <w:r>
        <w:rPr>
          <w:rFonts w:hint="eastAsia" w:ascii="宋体" w:hAnsi="宋体"/>
          <w:color w:val="000000"/>
          <w:sz w:val="24"/>
        </w:rPr>
        <w:t>招标机构名称：深圳大学总医院招投标管理办公室</w:t>
      </w:r>
    </w:p>
    <w:p>
      <w:pPr>
        <w:spacing w:before="156" w:beforeLines="50"/>
        <w:jc w:val="right"/>
        <w:rPr>
          <w:rFonts w:ascii="宋体" w:hAnsi="宋体"/>
          <w:color w:val="000000"/>
          <w:sz w:val="24"/>
        </w:rPr>
      </w:pPr>
      <w:r>
        <w:rPr>
          <w:rFonts w:hint="eastAsia" w:ascii="宋体" w:hAnsi="宋体"/>
          <w:color w:val="000000"/>
          <w:sz w:val="24"/>
        </w:rPr>
        <w:t>联</w:t>
      </w:r>
      <w:r>
        <w:rPr>
          <w:rFonts w:ascii="宋体" w:hAnsi="宋体"/>
          <w:color w:val="000000"/>
          <w:sz w:val="24"/>
        </w:rPr>
        <w:t xml:space="preserve"> 系 人</w:t>
      </w:r>
      <w:r>
        <w:rPr>
          <w:rFonts w:hint="eastAsia" w:ascii="宋体" w:hAnsi="宋体"/>
          <w:color w:val="000000"/>
          <w:sz w:val="24"/>
        </w:rPr>
        <w:t>：黄</w:t>
      </w:r>
      <w:r>
        <w:rPr>
          <w:rFonts w:ascii="宋体" w:hAnsi="宋体"/>
          <w:color w:val="000000"/>
          <w:sz w:val="24"/>
        </w:rPr>
        <w:t>老师  电  话：（0755）</w:t>
      </w:r>
      <w:r>
        <w:rPr>
          <w:rFonts w:hint="eastAsia" w:ascii="宋体" w:hAnsi="宋体"/>
          <w:color w:val="000000"/>
          <w:sz w:val="24"/>
        </w:rPr>
        <w:t>2</w:t>
      </w:r>
      <w:r>
        <w:rPr>
          <w:rFonts w:ascii="宋体" w:hAnsi="宋体"/>
          <w:color w:val="000000"/>
          <w:sz w:val="24"/>
        </w:rPr>
        <w:t xml:space="preserve">183 9923 </w:t>
      </w:r>
    </w:p>
    <w:p>
      <w:pPr>
        <w:spacing w:before="156" w:beforeLines="50"/>
        <w:jc w:val="right"/>
        <w:rPr>
          <w:rFonts w:ascii="宋体" w:hAnsi="宋体"/>
          <w:color w:val="000000"/>
          <w:sz w:val="24"/>
        </w:rPr>
      </w:pPr>
    </w:p>
    <w:p>
      <w:pPr>
        <w:spacing w:before="156" w:beforeLines="50"/>
        <w:jc w:val="right"/>
        <w:rPr>
          <w:rFonts w:ascii="宋体" w:hAnsi="宋体"/>
          <w:color w:val="000000"/>
          <w:sz w:val="24"/>
        </w:rPr>
      </w:pPr>
      <w:r>
        <w:rPr>
          <w:rFonts w:hint="eastAsia" w:ascii="宋体" w:hAnsi="宋体"/>
          <w:color w:val="000000"/>
          <w:sz w:val="24"/>
        </w:rPr>
        <w:t>招投标投诉电话：</w:t>
      </w:r>
      <w:r>
        <w:rPr>
          <w:rFonts w:ascii="宋体" w:hAnsi="宋体"/>
          <w:color w:val="000000"/>
          <w:sz w:val="24"/>
        </w:rPr>
        <w:t>0755-21839931   投诉邮箱：</w:t>
      </w:r>
      <w:r>
        <w:rPr>
          <w:rFonts w:cs="宋体"/>
          <w:color w:val="222222"/>
          <w:kern w:val="0"/>
          <w:sz w:val="24"/>
          <w:szCs w:val="24"/>
        </w:rPr>
        <w:t>sughztb@szu.edu.cn</w:t>
      </w:r>
    </w:p>
    <w:p>
      <w:pPr>
        <w:spacing w:before="156" w:beforeLines="50"/>
        <w:jc w:val="right"/>
        <w:rPr>
          <w:rFonts w:ascii="宋体" w:hAnsi="宋体"/>
          <w:color w:val="000000"/>
          <w:sz w:val="24"/>
        </w:rPr>
      </w:pPr>
      <w:r>
        <w:rPr>
          <w:rFonts w:hint="eastAsia" w:ascii="宋体" w:hAnsi="宋体"/>
          <w:color w:val="000000"/>
          <w:sz w:val="24"/>
        </w:rPr>
        <w:t>受理单位</w:t>
      </w:r>
      <w:r>
        <w:rPr>
          <w:rFonts w:ascii="宋体" w:hAnsi="宋体"/>
          <w:color w:val="000000"/>
          <w:sz w:val="24"/>
        </w:rPr>
        <w:t>:   深圳大学总医院招投标管理办公室</w:t>
      </w:r>
    </w:p>
    <w:p>
      <w:pPr>
        <w:spacing w:before="156" w:beforeLines="50"/>
        <w:jc w:val="right"/>
        <w:rPr>
          <w:rFonts w:ascii="宋体" w:hAnsi="宋体"/>
          <w:color w:val="000000"/>
          <w:sz w:val="24"/>
        </w:rPr>
      </w:pPr>
      <w:r>
        <w:rPr>
          <w:rFonts w:hint="eastAsia" w:ascii="宋体" w:hAnsi="宋体"/>
          <w:color w:val="000000"/>
          <w:sz w:val="24"/>
        </w:rPr>
        <w:t>纪委监督电话：（0755）2183 9865</w:t>
      </w:r>
    </w:p>
    <w:p>
      <w:pPr>
        <w:widowControl/>
        <w:jc w:val="left"/>
        <w:rPr>
          <w:rFonts w:ascii="宋体" w:hAnsi="宋体"/>
          <w:color w:val="000000"/>
          <w:sz w:val="24"/>
        </w:rPr>
      </w:pPr>
      <w:r>
        <w:rPr>
          <w:rFonts w:ascii="宋体" w:hAnsi="宋体"/>
          <w:color w:val="000000"/>
          <w:sz w:val="24"/>
        </w:rPr>
        <w:br w:type="page"/>
      </w:r>
    </w:p>
    <w:p>
      <w:pPr>
        <w:spacing w:before="156" w:beforeLines="50"/>
        <w:jc w:val="center"/>
        <w:rPr>
          <w:rFonts w:ascii="华文新魏" w:hAnsi="宋体" w:eastAsia="华文新魏"/>
          <w:b/>
          <w:color w:val="000000"/>
          <w:sz w:val="48"/>
        </w:rPr>
      </w:pPr>
      <w:r>
        <w:rPr>
          <w:rFonts w:hint="eastAsia" w:ascii="华文新魏" w:hAnsi="宋体" w:eastAsia="华文新魏"/>
          <w:b/>
          <w:color w:val="000000"/>
          <w:sz w:val="48"/>
        </w:rPr>
        <w:t>谈判人须知</w:t>
      </w:r>
    </w:p>
    <w:p>
      <w:pPr>
        <w:pStyle w:val="34"/>
        <w:numPr>
          <w:ilvl w:val="0"/>
          <w:numId w:val="1"/>
        </w:numPr>
        <w:spacing w:before="156" w:beforeLines="50"/>
        <w:ind w:firstLineChars="0"/>
        <w:jc w:val="left"/>
        <w:rPr>
          <w:rFonts w:ascii="仿宋" w:hAnsi="仿宋" w:eastAsia="仿宋"/>
          <w:b/>
          <w:sz w:val="24"/>
        </w:rPr>
      </w:pPr>
      <w:r>
        <w:rPr>
          <w:rFonts w:hint="eastAsia" w:ascii="仿宋" w:hAnsi="仿宋" w:eastAsia="仿宋"/>
          <w:b/>
          <w:sz w:val="24"/>
        </w:rPr>
        <w:t>谈判邀请对象：深圳市深医科技有限公司</w:t>
      </w:r>
    </w:p>
    <w:p>
      <w:pPr>
        <w:pStyle w:val="34"/>
        <w:spacing w:before="156" w:beforeLines="50"/>
        <w:ind w:left="510" w:firstLine="0" w:firstLineChars="0"/>
        <w:jc w:val="left"/>
        <w:rPr>
          <w:rFonts w:ascii="仿宋" w:hAnsi="仿宋" w:eastAsia="仿宋"/>
          <w:b/>
          <w:sz w:val="24"/>
        </w:rPr>
      </w:pPr>
    </w:p>
    <w:p>
      <w:pPr>
        <w:spacing w:line="360" w:lineRule="auto"/>
        <w:rPr>
          <w:rFonts w:ascii="仿宋" w:hAnsi="仿宋" w:eastAsia="仿宋"/>
          <w:b/>
          <w:sz w:val="24"/>
        </w:rPr>
      </w:pPr>
      <w:r>
        <w:rPr>
          <w:rFonts w:hint="eastAsia" w:ascii="仿宋" w:hAnsi="仿宋" w:eastAsia="仿宋"/>
          <w:b/>
          <w:sz w:val="24"/>
        </w:rPr>
        <w:t>二、投标人资质要求</w:t>
      </w:r>
    </w:p>
    <w:p>
      <w:pPr>
        <w:spacing w:line="360" w:lineRule="auto"/>
        <w:ind w:firstLine="480"/>
        <w:rPr>
          <w:rFonts w:ascii="仿宋" w:hAnsi="仿宋" w:eastAsia="仿宋"/>
          <w:sz w:val="24"/>
        </w:rPr>
      </w:pPr>
      <w:r>
        <w:rPr>
          <w:rFonts w:hint="eastAsia" w:ascii="仿宋" w:hAnsi="仿宋" w:eastAsia="仿宋"/>
          <w:sz w:val="24"/>
        </w:rPr>
        <w:t>“投标人”系指响应采购文件要求、参加本次招标采购的供应商。</w:t>
      </w:r>
    </w:p>
    <w:p>
      <w:pPr>
        <w:spacing w:line="360" w:lineRule="auto"/>
        <w:ind w:firstLine="480"/>
        <w:rPr>
          <w:rFonts w:ascii="仿宋" w:hAnsi="仿宋" w:eastAsia="仿宋"/>
          <w:sz w:val="24"/>
        </w:rPr>
      </w:pPr>
      <w:r>
        <w:rPr>
          <w:rFonts w:hint="eastAsia" w:ascii="仿宋" w:hAnsi="仿宋" w:eastAsia="仿宋"/>
          <w:sz w:val="24"/>
        </w:rPr>
        <w:t>投标人必须是来自中华人民共和国或是与中华人民共和国有正常贸易往来的国家或地区（以下简称“合格来源国</w:t>
      </w:r>
      <w:r>
        <w:rPr>
          <w:rFonts w:ascii="仿宋" w:hAnsi="仿宋" w:eastAsia="仿宋"/>
          <w:sz w:val="24"/>
        </w:rPr>
        <w:t>/</w:t>
      </w:r>
      <w:r>
        <w:rPr>
          <w:rFonts w:hint="eastAsia" w:ascii="仿宋" w:hAnsi="仿宋" w:eastAsia="仿宋"/>
          <w:sz w:val="24"/>
        </w:rPr>
        <w:t>地区”）的法人或其他组织，在法律上和财务上独立、合法运作并独立于招标人和招标机构，具有相关经营范围，有资格和能力提供本采购项目的货物及服务的制造商或代理商（或经销商），并须提供以下加盖公章的资料复印件：</w:t>
      </w:r>
    </w:p>
    <w:p>
      <w:pPr>
        <w:spacing w:line="360" w:lineRule="auto"/>
        <w:ind w:firstLine="480"/>
        <w:rPr>
          <w:rFonts w:ascii="仿宋" w:hAnsi="仿宋" w:eastAsia="仿宋"/>
          <w:sz w:val="24"/>
        </w:rPr>
      </w:pPr>
      <w:r>
        <w:rPr>
          <w:rFonts w:hint="eastAsia" w:ascii="仿宋" w:hAnsi="仿宋" w:eastAsia="仿宋"/>
          <w:sz w:val="24"/>
        </w:rPr>
        <w:t>1、营业执照</w:t>
      </w:r>
    </w:p>
    <w:p>
      <w:pPr>
        <w:spacing w:line="360" w:lineRule="auto"/>
        <w:ind w:firstLine="480"/>
        <w:rPr>
          <w:rFonts w:ascii="仿宋" w:hAnsi="仿宋" w:eastAsia="仿宋"/>
          <w:sz w:val="24"/>
        </w:rPr>
      </w:pPr>
      <w:r>
        <w:rPr>
          <w:rFonts w:hint="eastAsia" w:ascii="仿宋" w:hAnsi="仿宋" w:eastAsia="仿宋"/>
          <w:sz w:val="24"/>
        </w:rPr>
        <w:t>2、医疗器械经营许可证</w:t>
      </w:r>
    </w:p>
    <w:p>
      <w:pPr>
        <w:spacing w:line="360" w:lineRule="auto"/>
        <w:ind w:firstLine="480"/>
        <w:rPr>
          <w:rFonts w:ascii="仿宋" w:hAnsi="仿宋" w:eastAsia="仿宋"/>
          <w:sz w:val="24"/>
        </w:rPr>
      </w:pPr>
      <w:r>
        <w:rPr>
          <w:rFonts w:hint="eastAsia" w:ascii="仿宋" w:hAnsi="仿宋" w:eastAsia="仿宋"/>
          <w:sz w:val="24"/>
        </w:rPr>
        <w:t>3、原厂代理授权证明</w:t>
      </w:r>
    </w:p>
    <w:p>
      <w:pPr>
        <w:spacing w:line="360" w:lineRule="auto"/>
        <w:ind w:firstLine="480"/>
        <w:rPr>
          <w:rFonts w:ascii="仿宋" w:hAnsi="仿宋" w:eastAsia="仿宋"/>
          <w:sz w:val="24"/>
        </w:rPr>
      </w:pPr>
      <w:r>
        <w:rPr>
          <w:rFonts w:ascii="仿宋" w:hAnsi="仿宋" w:eastAsia="仿宋"/>
          <w:sz w:val="24"/>
        </w:rPr>
        <w:t>4</w:t>
      </w:r>
      <w:r>
        <w:rPr>
          <w:rFonts w:hint="eastAsia" w:ascii="仿宋" w:hAnsi="仿宋" w:eastAsia="仿宋"/>
          <w:sz w:val="24"/>
        </w:rPr>
        <w:t>、专机专用耗材说明</w:t>
      </w:r>
    </w:p>
    <w:p>
      <w:pPr>
        <w:spacing w:line="360" w:lineRule="auto"/>
        <w:ind w:firstLine="480"/>
        <w:rPr>
          <w:rFonts w:ascii="仿宋" w:hAnsi="仿宋" w:eastAsia="仿宋"/>
          <w:sz w:val="24"/>
        </w:rPr>
      </w:pPr>
      <w:r>
        <w:rPr>
          <w:rFonts w:ascii="仿宋" w:hAnsi="仿宋" w:eastAsia="仿宋"/>
          <w:sz w:val="24"/>
        </w:rPr>
        <w:t>5</w:t>
      </w:r>
      <w:r>
        <w:rPr>
          <w:rFonts w:hint="eastAsia" w:ascii="仿宋" w:hAnsi="仿宋" w:eastAsia="仿宋"/>
          <w:sz w:val="24"/>
        </w:rPr>
        <w:t>、医疗器械注册证和医疗器械注册登记表</w:t>
      </w:r>
    </w:p>
    <w:p>
      <w:pPr>
        <w:spacing w:line="360" w:lineRule="auto"/>
        <w:ind w:firstLine="480"/>
        <w:rPr>
          <w:rFonts w:ascii="仿宋" w:hAnsi="仿宋" w:eastAsia="仿宋"/>
          <w:sz w:val="24"/>
        </w:rPr>
      </w:pPr>
      <w:r>
        <w:rPr>
          <w:rFonts w:ascii="仿宋" w:hAnsi="仿宋" w:eastAsia="仿宋"/>
          <w:sz w:val="24"/>
        </w:rPr>
        <w:t>6</w:t>
      </w:r>
      <w:r>
        <w:rPr>
          <w:rFonts w:hint="eastAsia" w:ascii="仿宋" w:hAnsi="仿宋" w:eastAsia="仿宋"/>
          <w:sz w:val="24"/>
        </w:rPr>
        <w:t>、产品出厂合格证</w:t>
      </w:r>
    </w:p>
    <w:p>
      <w:pPr>
        <w:spacing w:line="360" w:lineRule="auto"/>
        <w:ind w:firstLine="480"/>
        <w:rPr>
          <w:rFonts w:ascii="仿宋" w:hAnsi="仿宋" w:eastAsia="仿宋"/>
          <w:sz w:val="24"/>
        </w:rPr>
      </w:pPr>
      <w:r>
        <w:rPr>
          <w:rFonts w:ascii="仿宋" w:hAnsi="仿宋" w:eastAsia="仿宋"/>
          <w:sz w:val="24"/>
        </w:rPr>
        <w:t>7</w:t>
      </w:r>
      <w:r>
        <w:rPr>
          <w:rFonts w:hint="eastAsia" w:ascii="仿宋" w:hAnsi="仿宋" w:eastAsia="仿宋"/>
          <w:sz w:val="24"/>
        </w:rPr>
        <w:t>、厂家和供应商的售后服务方案及承诺书</w:t>
      </w:r>
    </w:p>
    <w:p>
      <w:pPr>
        <w:spacing w:before="156" w:beforeLines="50"/>
        <w:jc w:val="left"/>
        <w:rPr>
          <w:rFonts w:ascii="仿宋" w:hAnsi="仿宋" w:eastAsia="仿宋"/>
          <w:color w:val="000000"/>
          <w:sz w:val="24"/>
        </w:rPr>
      </w:pPr>
    </w:p>
    <w:p>
      <w:pPr>
        <w:spacing w:line="360" w:lineRule="auto"/>
        <w:rPr>
          <w:rFonts w:ascii="仿宋" w:hAnsi="仿宋" w:eastAsia="仿宋"/>
          <w:b/>
          <w:sz w:val="24"/>
        </w:rPr>
      </w:pPr>
      <w:r>
        <w:rPr>
          <w:rFonts w:hint="eastAsia" w:ascii="仿宋" w:hAnsi="仿宋" w:eastAsia="仿宋"/>
          <w:b/>
          <w:sz w:val="24"/>
        </w:rPr>
        <w:t>三、谈判报价和货币</w:t>
      </w:r>
    </w:p>
    <w:p>
      <w:pPr>
        <w:spacing w:line="360" w:lineRule="auto"/>
        <w:ind w:firstLine="480"/>
        <w:rPr>
          <w:rFonts w:ascii="仿宋" w:hAnsi="仿宋" w:eastAsia="仿宋"/>
          <w:sz w:val="24"/>
        </w:rPr>
      </w:pPr>
      <w:r>
        <w:rPr>
          <w:rFonts w:hint="eastAsia" w:ascii="仿宋" w:hAnsi="仿宋" w:eastAsia="仿宋"/>
          <w:sz w:val="24"/>
        </w:rPr>
        <w:t>谈判报价应包括但不限于：货物价格、税费、运输费、保险费、装卸费、配套资料费、验收检验费、培训费用以及售后服务费用等相关一切费用。</w:t>
      </w:r>
    </w:p>
    <w:p>
      <w:pPr>
        <w:spacing w:line="360" w:lineRule="auto"/>
        <w:ind w:firstLine="480"/>
        <w:rPr>
          <w:rFonts w:ascii="仿宋" w:hAnsi="仿宋" w:eastAsia="仿宋"/>
          <w:sz w:val="24"/>
        </w:rPr>
      </w:pPr>
      <w:r>
        <w:rPr>
          <w:rFonts w:hint="eastAsia" w:ascii="仿宋" w:hAnsi="仿宋" w:eastAsia="仿宋"/>
          <w:sz w:val="24"/>
        </w:rPr>
        <w:t>谈判货币：人民币。</w:t>
      </w:r>
    </w:p>
    <w:p>
      <w:pPr>
        <w:spacing w:line="360" w:lineRule="auto"/>
        <w:rPr>
          <w:rFonts w:ascii="仿宋" w:hAnsi="仿宋" w:eastAsia="仿宋"/>
          <w:sz w:val="24"/>
        </w:rPr>
      </w:pPr>
    </w:p>
    <w:p>
      <w:pPr>
        <w:spacing w:line="360" w:lineRule="auto"/>
        <w:rPr>
          <w:rFonts w:ascii="仿宋" w:hAnsi="仿宋" w:eastAsia="仿宋"/>
          <w:b/>
          <w:sz w:val="24"/>
        </w:rPr>
      </w:pPr>
      <w:r>
        <w:rPr>
          <w:rFonts w:hint="eastAsia" w:ascii="仿宋" w:hAnsi="仿宋" w:eastAsia="仿宋"/>
          <w:b/>
          <w:sz w:val="24"/>
        </w:rPr>
        <w:t>四、谈判书的编制和递交</w:t>
      </w:r>
    </w:p>
    <w:p>
      <w:pPr>
        <w:spacing w:line="360" w:lineRule="auto"/>
        <w:rPr>
          <w:rFonts w:ascii="仿宋" w:hAnsi="仿宋" w:eastAsia="仿宋"/>
          <w:sz w:val="24"/>
        </w:rPr>
      </w:pPr>
      <w:r>
        <w:rPr>
          <w:rFonts w:hint="eastAsia" w:ascii="仿宋" w:hAnsi="仿宋" w:eastAsia="仿宋"/>
          <w:sz w:val="24"/>
        </w:rPr>
        <w:t>　</w:t>
      </w:r>
      <w:r>
        <w:rPr>
          <w:rFonts w:hint="eastAsia" w:ascii="仿宋" w:hAnsi="仿宋" w:eastAsia="仿宋"/>
          <w:color w:val="FF0000"/>
          <w:sz w:val="24"/>
        </w:rPr>
        <w:t>　谈判时需提供谈判书正本一份、副本两份（数量不齐者作废标处理），</w:t>
      </w:r>
      <w:r>
        <w:rPr>
          <w:rFonts w:hint="eastAsia" w:ascii="仿宋" w:hAnsi="仿宋" w:eastAsia="仿宋"/>
          <w:sz w:val="24"/>
        </w:rPr>
        <w:t>并在谈判书封面上注明。谈判人编制的谈判书中须包含以下材料（加盖公章）：</w:t>
      </w:r>
    </w:p>
    <w:p>
      <w:pPr>
        <w:spacing w:line="360" w:lineRule="auto"/>
        <w:rPr>
          <w:rFonts w:ascii="仿宋" w:hAnsi="仿宋" w:eastAsia="仿宋"/>
          <w:sz w:val="24"/>
        </w:rPr>
      </w:pPr>
      <w:r>
        <w:rPr>
          <w:rFonts w:hint="eastAsia" w:ascii="仿宋" w:hAnsi="仿宋" w:eastAsia="仿宋"/>
          <w:sz w:val="24"/>
        </w:rPr>
        <w:t>　　1、谈判报价表；</w:t>
      </w:r>
    </w:p>
    <w:p>
      <w:pPr>
        <w:spacing w:line="360" w:lineRule="auto"/>
        <w:rPr>
          <w:rFonts w:ascii="仿宋" w:hAnsi="仿宋" w:eastAsia="仿宋"/>
          <w:sz w:val="24"/>
        </w:rPr>
      </w:pPr>
      <w:r>
        <w:rPr>
          <w:rFonts w:hint="eastAsia" w:ascii="仿宋" w:hAnsi="仿宋" w:eastAsia="仿宋"/>
          <w:sz w:val="24"/>
        </w:rPr>
        <w:t>　　2、谈判人法人代表授权书；</w:t>
      </w:r>
    </w:p>
    <w:p>
      <w:pPr>
        <w:spacing w:line="360" w:lineRule="auto"/>
        <w:rPr>
          <w:rFonts w:ascii="仿宋" w:hAnsi="仿宋" w:eastAsia="仿宋"/>
          <w:sz w:val="24"/>
        </w:rPr>
      </w:pPr>
      <w:r>
        <w:rPr>
          <w:rFonts w:hint="eastAsia" w:ascii="仿宋" w:hAnsi="仿宋" w:eastAsia="仿宋"/>
          <w:sz w:val="24"/>
        </w:rPr>
        <w:t>　　3、谈判承诺函；</w:t>
      </w:r>
    </w:p>
    <w:p>
      <w:pPr>
        <w:spacing w:line="360" w:lineRule="auto"/>
        <w:rPr>
          <w:rFonts w:ascii="仿宋" w:hAnsi="仿宋" w:eastAsia="仿宋"/>
          <w:sz w:val="24"/>
        </w:rPr>
      </w:pPr>
      <w:r>
        <w:rPr>
          <w:rFonts w:hint="eastAsia" w:ascii="仿宋" w:hAnsi="仿宋" w:eastAsia="仿宋"/>
          <w:sz w:val="24"/>
        </w:rPr>
        <w:t>　　4、资质证书复印件（详见谈判人须知 二、投标人资质要求）；</w:t>
      </w:r>
    </w:p>
    <w:p>
      <w:pPr>
        <w:spacing w:line="360" w:lineRule="auto"/>
        <w:rPr>
          <w:rFonts w:ascii="仿宋" w:hAnsi="仿宋" w:eastAsia="仿宋"/>
          <w:sz w:val="24"/>
        </w:rPr>
      </w:pPr>
      <w:r>
        <w:rPr>
          <w:rFonts w:hint="eastAsia" w:ascii="仿宋" w:hAnsi="仿宋" w:eastAsia="仿宋"/>
          <w:sz w:val="24"/>
        </w:rPr>
        <w:t>　　</w:t>
      </w:r>
      <w:r>
        <w:rPr>
          <w:rFonts w:ascii="仿宋" w:hAnsi="仿宋" w:eastAsia="仿宋"/>
          <w:color w:val="FF0000"/>
          <w:sz w:val="24"/>
        </w:rPr>
        <w:t>5</w:t>
      </w:r>
      <w:r>
        <w:rPr>
          <w:rFonts w:hint="eastAsia" w:ascii="仿宋" w:hAnsi="仿宋" w:eastAsia="仿宋"/>
          <w:color w:val="FF0000"/>
          <w:sz w:val="24"/>
        </w:rPr>
        <w:t>、谈判人认为需要提供的其他材料（如所投产品近一年全国范围内至少三家三级医院相关销售发票或其他能佐证项目价格的材料，深圳医院的优先提供）。</w:t>
      </w:r>
    </w:p>
    <w:p>
      <w:pPr>
        <w:spacing w:line="360" w:lineRule="auto"/>
        <w:ind w:firstLine="480"/>
        <w:rPr>
          <w:rFonts w:ascii="仿宋" w:hAnsi="仿宋" w:eastAsia="仿宋"/>
          <w:sz w:val="24"/>
        </w:rPr>
      </w:pPr>
      <w:r>
        <w:rPr>
          <w:rFonts w:hint="eastAsia" w:ascii="仿宋" w:hAnsi="仿宋" w:eastAsia="仿宋"/>
          <w:sz w:val="24"/>
        </w:rPr>
        <w:t>缺少上述1～</w:t>
      </w:r>
      <w:r>
        <w:rPr>
          <w:rFonts w:ascii="仿宋" w:hAnsi="仿宋" w:eastAsia="仿宋"/>
          <w:sz w:val="24"/>
        </w:rPr>
        <w:t>4</w:t>
      </w:r>
      <w:r>
        <w:rPr>
          <w:rFonts w:hint="eastAsia" w:ascii="仿宋" w:hAnsi="仿宋" w:eastAsia="仿宋"/>
          <w:sz w:val="24"/>
        </w:rPr>
        <w:t>的任一文件，视为对实质性条款的不响应，将导致谈判无效。</w:t>
      </w:r>
    </w:p>
    <w:p>
      <w:pPr>
        <w:spacing w:line="360" w:lineRule="auto"/>
        <w:rPr>
          <w:rFonts w:ascii="仿宋" w:hAnsi="仿宋" w:eastAsia="仿宋"/>
          <w:sz w:val="24"/>
        </w:rPr>
      </w:pPr>
    </w:p>
    <w:p>
      <w:pPr>
        <w:spacing w:line="360" w:lineRule="auto"/>
        <w:rPr>
          <w:rFonts w:ascii="仿宋" w:hAnsi="仿宋" w:eastAsia="仿宋"/>
          <w:b/>
          <w:sz w:val="24"/>
        </w:rPr>
      </w:pPr>
      <w:r>
        <w:rPr>
          <w:rFonts w:hint="eastAsia" w:ascii="仿宋" w:hAnsi="仿宋" w:eastAsia="仿宋"/>
          <w:b/>
          <w:sz w:val="24"/>
        </w:rPr>
        <w:t>五、谈判保证金</w:t>
      </w:r>
    </w:p>
    <w:p>
      <w:pPr>
        <w:spacing w:line="360" w:lineRule="auto"/>
        <w:rPr>
          <w:rFonts w:ascii="仿宋" w:hAnsi="仿宋" w:eastAsia="仿宋"/>
          <w:sz w:val="24"/>
        </w:rPr>
      </w:pPr>
      <w:r>
        <w:rPr>
          <w:rFonts w:hint="eastAsia" w:ascii="仿宋" w:hAnsi="仿宋" w:eastAsia="仿宋"/>
          <w:sz w:val="24"/>
        </w:rPr>
        <w:t>　本项目无需缴纳谈判保证金。</w:t>
      </w:r>
    </w:p>
    <w:p>
      <w:pPr>
        <w:spacing w:line="360" w:lineRule="auto"/>
        <w:rPr>
          <w:rFonts w:ascii="仿宋" w:hAnsi="仿宋" w:eastAsia="仿宋"/>
          <w:sz w:val="24"/>
        </w:rPr>
      </w:pPr>
    </w:p>
    <w:p>
      <w:pPr>
        <w:spacing w:line="360" w:lineRule="auto"/>
        <w:rPr>
          <w:rFonts w:ascii="仿宋" w:hAnsi="仿宋" w:eastAsia="仿宋"/>
          <w:b/>
          <w:sz w:val="24"/>
        </w:rPr>
      </w:pPr>
      <w:r>
        <w:rPr>
          <w:rFonts w:hint="eastAsia" w:ascii="仿宋" w:hAnsi="仿宋" w:eastAsia="仿宋"/>
          <w:b/>
          <w:sz w:val="24"/>
        </w:rPr>
        <w:t>六、付款计划</w:t>
      </w:r>
    </w:p>
    <w:p>
      <w:pPr>
        <w:spacing w:line="360" w:lineRule="auto"/>
        <w:ind w:firstLine="480" w:firstLineChars="200"/>
        <w:rPr>
          <w:rFonts w:ascii="仿宋" w:hAnsi="仿宋" w:eastAsia="仿宋"/>
          <w:sz w:val="24"/>
        </w:rPr>
      </w:pPr>
      <w:r>
        <w:rPr>
          <w:rFonts w:hint="eastAsia" w:ascii="仿宋" w:hAnsi="仿宋" w:eastAsia="仿宋"/>
          <w:sz w:val="24"/>
        </w:rPr>
        <w:t>详见项目</w:t>
      </w:r>
      <w:r>
        <w:rPr>
          <w:rFonts w:ascii="仿宋" w:hAnsi="仿宋" w:eastAsia="仿宋"/>
          <w:sz w:val="24"/>
        </w:rPr>
        <w:t>需求</w:t>
      </w:r>
      <w:r>
        <w:rPr>
          <w:rFonts w:hint="eastAsia" w:ascii="仿宋" w:hAnsi="仿宋" w:eastAsia="仿宋"/>
          <w:sz w:val="24"/>
        </w:rPr>
        <w:t xml:space="preserve"> 五、付款方式。</w:t>
      </w:r>
    </w:p>
    <w:p>
      <w:pPr>
        <w:spacing w:line="360" w:lineRule="auto"/>
        <w:ind w:firstLine="480" w:firstLineChars="200"/>
        <w:rPr>
          <w:rFonts w:ascii="仿宋" w:hAnsi="仿宋" w:eastAsia="仿宋"/>
          <w:sz w:val="24"/>
        </w:rPr>
      </w:pPr>
    </w:p>
    <w:p>
      <w:pPr>
        <w:spacing w:line="360" w:lineRule="auto"/>
        <w:rPr>
          <w:rFonts w:ascii="仿宋" w:hAnsi="仿宋" w:eastAsia="仿宋"/>
          <w:b/>
          <w:sz w:val="24"/>
        </w:rPr>
      </w:pPr>
      <w:r>
        <w:rPr>
          <w:rFonts w:hint="eastAsia" w:ascii="仿宋" w:hAnsi="仿宋" w:eastAsia="仿宋"/>
          <w:b/>
          <w:sz w:val="24"/>
        </w:rPr>
        <w:t>七、谈判有效期</w:t>
      </w:r>
    </w:p>
    <w:p>
      <w:pPr>
        <w:spacing w:line="360" w:lineRule="auto"/>
        <w:rPr>
          <w:rFonts w:ascii="仿宋" w:hAnsi="仿宋" w:eastAsia="仿宋"/>
          <w:sz w:val="24"/>
        </w:rPr>
      </w:pPr>
      <w:r>
        <w:rPr>
          <w:rFonts w:hint="eastAsia" w:ascii="仿宋" w:hAnsi="仿宋" w:eastAsia="仿宋"/>
          <w:sz w:val="24"/>
        </w:rPr>
        <w:t>　　谈判文件将在谈判文件递交截止后60天内有效。投标有效期不足的谈判文件将被拒绝。</w:t>
      </w:r>
    </w:p>
    <w:p>
      <w:pPr>
        <w:spacing w:line="360" w:lineRule="auto"/>
        <w:rPr>
          <w:rFonts w:ascii="仿宋" w:hAnsi="仿宋" w:eastAsia="仿宋"/>
          <w:sz w:val="24"/>
        </w:rPr>
      </w:pPr>
    </w:p>
    <w:p>
      <w:pPr>
        <w:spacing w:line="360" w:lineRule="auto"/>
        <w:rPr>
          <w:rFonts w:ascii="仿宋" w:hAnsi="仿宋" w:eastAsia="仿宋"/>
          <w:b/>
          <w:sz w:val="24"/>
        </w:rPr>
      </w:pPr>
      <w:r>
        <w:rPr>
          <w:rFonts w:hint="eastAsia" w:ascii="仿宋" w:hAnsi="仿宋" w:eastAsia="仿宋"/>
          <w:b/>
          <w:sz w:val="24"/>
        </w:rPr>
        <w:t>八、谈判方法</w:t>
      </w:r>
    </w:p>
    <w:p>
      <w:pPr>
        <w:spacing w:line="360" w:lineRule="auto"/>
        <w:rPr>
          <w:rFonts w:ascii="仿宋" w:hAnsi="仿宋" w:eastAsia="仿宋"/>
          <w:sz w:val="24"/>
        </w:rPr>
      </w:pPr>
      <w:r>
        <w:rPr>
          <w:rFonts w:hint="eastAsia" w:ascii="仿宋" w:hAnsi="仿宋" w:eastAsia="仿宋"/>
          <w:sz w:val="24"/>
        </w:rPr>
        <w:t>　　就价格</w:t>
      </w:r>
      <w:r>
        <w:rPr>
          <w:rFonts w:ascii="仿宋" w:hAnsi="仿宋" w:eastAsia="仿宋"/>
          <w:sz w:val="24"/>
        </w:rPr>
        <w:t>、</w:t>
      </w:r>
      <w:r>
        <w:rPr>
          <w:rFonts w:hint="eastAsia" w:ascii="仿宋" w:hAnsi="仿宋" w:eastAsia="仿宋"/>
          <w:sz w:val="24"/>
        </w:rPr>
        <w:t>商务、技术等方面进行谈判，供应商有三次报价机会。</w:t>
      </w:r>
    </w:p>
    <w:p>
      <w:pPr>
        <w:spacing w:line="360" w:lineRule="auto"/>
        <w:rPr>
          <w:rFonts w:ascii="仿宋" w:hAnsi="仿宋" w:eastAsia="仿宋"/>
          <w:sz w:val="24"/>
        </w:rPr>
      </w:pPr>
    </w:p>
    <w:p>
      <w:pPr>
        <w:spacing w:line="360" w:lineRule="auto"/>
        <w:rPr>
          <w:rFonts w:ascii="仿宋" w:hAnsi="仿宋" w:eastAsia="仿宋"/>
          <w:b/>
          <w:sz w:val="24"/>
        </w:rPr>
      </w:pPr>
      <w:r>
        <w:rPr>
          <w:rFonts w:hint="eastAsia" w:ascii="仿宋" w:hAnsi="仿宋" w:eastAsia="仿宋"/>
          <w:b/>
          <w:sz w:val="24"/>
        </w:rPr>
        <w:t>九、谈判文件的式样和签署</w:t>
      </w:r>
    </w:p>
    <w:p>
      <w:pPr>
        <w:spacing w:line="360" w:lineRule="auto"/>
        <w:rPr>
          <w:rFonts w:ascii="仿宋" w:hAnsi="仿宋" w:eastAsia="仿宋"/>
          <w:sz w:val="24"/>
        </w:rPr>
      </w:pPr>
      <w:r>
        <w:rPr>
          <w:rFonts w:hint="eastAsia" w:ascii="仿宋" w:hAnsi="仿宋" w:eastAsia="仿宋"/>
          <w:sz w:val="24"/>
        </w:rPr>
        <w:t>　　谈判文件的封面应注明“项目名称、招标编号、投标人名称、谈判日期等”；</w:t>
      </w:r>
    </w:p>
    <w:p>
      <w:pPr>
        <w:spacing w:line="360" w:lineRule="auto"/>
        <w:ind w:firstLine="480"/>
        <w:rPr>
          <w:rFonts w:ascii="仿宋" w:hAnsi="仿宋" w:eastAsia="仿宋"/>
          <w:sz w:val="24"/>
        </w:rPr>
      </w:pPr>
      <w:r>
        <w:rPr>
          <w:rFonts w:hint="eastAsia" w:ascii="仿宋" w:hAnsi="仿宋" w:eastAsia="仿宋"/>
          <w:sz w:val="24"/>
        </w:rPr>
        <w:t>谈判人应在每一份谈判文件上编上页次，</w:t>
      </w:r>
      <w:r>
        <w:rPr>
          <w:rFonts w:hint="eastAsia" w:ascii="仿宋" w:hAnsi="仿宋" w:eastAsia="仿宋"/>
          <w:color w:val="FF0000"/>
          <w:sz w:val="24"/>
        </w:rPr>
        <w:t>胶装装订成册（不允许使用活页夹）</w:t>
      </w:r>
      <w:r>
        <w:rPr>
          <w:rFonts w:hint="eastAsia" w:ascii="仿宋" w:hAnsi="仿宋" w:eastAsia="仿宋"/>
          <w:sz w:val="24"/>
        </w:rPr>
        <w:t>，每套谈判文件须清楚地标明“正本”、“副本”。一旦正本和副本不符，以正本为准；</w:t>
      </w:r>
    </w:p>
    <w:p>
      <w:pPr>
        <w:spacing w:line="360" w:lineRule="auto"/>
        <w:ind w:firstLine="480"/>
        <w:rPr>
          <w:rFonts w:ascii="仿宋" w:hAnsi="仿宋" w:eastAsia="仿宋"/>
          <w:sz w:val="24"/>
        </w:rPr>
      </w:pPr>
      <w:r>
        <w:rPr>
          <w:rFonts w:hint="eastAsia" w:ascii="仿宋" w:hAnsi="仿宋" w:eastAsia="仿宋"/>
          <w:sz w:val="24"/>
        </w:rPr>
        <w:t>谈判文件的[正本]封面均应由谈判人加盖谈判人法人公章；</w:t>
      </w:r>
    </w:p>
    <w:p>
      <w:pPr>
        <w:spacing w:line="360" w:lineRule="auto"/>
        <w:rPr>
          <w:rFonts w:ascii="仿宋" w:hAnsi="仿宋" w:eastAsia="仿宋"/>
          <w:sz w:val="24"/>
        </w:rPr>
      </w:pPr>
      <w:r>
        <w:rPr>
          <w:rFonts w:hint="eastAsia" w:ascii="仿宋" w:hAnsi="仿宋" w:eastAsia="仿宋"/>
          <w:sz w:val="24"/>
        </w:rPr>
        <w:t>　　谈判文件副本可采用谈判文件的正本复印而成，谈判文件中已标明“谈判人代表签名”处必须由谈判人法定代表人或其授权代表签字；已标明“盖章”之处，必须加盖谈判人法人公章；</w:t>
      </w:r>
    </w:p>
    <w:p>
      <w:pPr>
        <w:spacing w:line="360" w:lineRule="auto"/>
        <w:rPr>
          <w:rFonts w:ascii="仿宋" w:hAnsi="仿宋" w:eastAsia="仿宋"/>
          <w:sz w:val="24"/>
        </w:rPr>
      </w:pPr>
      <w:r>
        <w:rPr>
          <w:rFonts w:hint="eastAsia" w:ascii="仿宋" w:hAnsi="仿宋" w:eastAsia="仿宋"/>
          <w:sz w:val="24"/>
        </w:rPr>
        <w:t>　　除谈判人对错处作必要修改外，谈判文件中不许有加行、涂抹或改写。若有修改须由谈判人授权代表在修正处签字；　　</w:t>
      </w:r>
    </w:p>
    <w:p>
      <w:pPr>
        <w:spacing w:line="360" w:lineRule="auto"/>
        <w:rPr>
          <w:rFonts w:ascii="仿宋" w:hAnsi="仿宋" w:eastAsia="仿宋"/>
          <w:sz w:val="24"/>
        </w:rPr>
      </w:pPr>
      <w:r>
        <w:rPr>
          <w:rFonts w:hint="eastAsia" w:ascii="仿宋" w:hAnsi="仿宋" w:eastAsia="仿宋"/>
          <w:sz w:val="24"/>
        </w:rPr>
        <w:t>　　电报、电传、传真形式的投标概不接受。</w:t>
      </w:r>
    </w:p>
    <w:p>
      <w:pPr>
        <w:spacing w:line="360" w:lineRule="auto"/>
        <w:rPr>
          <w:rFonts w:ascii="仿宋" w:hAnsi="仿宋" w:eastAsia="仿宋"/>
          <w:sz w:val="24"/>
        </w:rPr>
      </w:pPr>
      <w:r>
        <w:rPr>
          <w:rFonts w:hint="eastAsia" w:ascii="仿宋" w:hAnsi="仿宋" w:eastAsia="仿宋"/>
          <w:sz w:val="24"/>
        </w:rPr>
        <w:t>　　</w:t>
      </w:r>
    </w:p>
    <w:p>
      <w:pPr>
        <w:spacing w:line="360" w:lineRule="auto"/>
        <w:rPr>
          <w:rFonts w:ascii="仿宋" w:hAnsi="仿宋" w:eastAsia="仿宋"/>
          <w:b/>
          <w:sz w:val="24"/>
        </w:rPr>
      </w:pPr>
      <w:r>
        <w:rPr>
          <w:rFonts w:hint="eastAsia" w:ascii="仿宋" w:hAnsi="仿宋" w:eastAsia="仿宋"/>
          <w:b/>
          <w:sz w:val="24"/>
        </w:rPr>
        <w:t>十、包装密封要求</w:t>
      </w:r>
    </w:p>
    <w:p>
      <w:pPr>
        <w:spacing w:line="360" w:lineRule="auto"/>
        <w:rPr>
          <w:rFonts w:ascii="仿宋" w:hAnsi="仿宋" w:eastAsia="仿宋"/>
          <w:sz w:val="24"/>
        </w:rPr>
      </w:pPr>
      <w:r>
        <w:rPr>
          <w:rFonts w:hint="eastAsia" w:ascii="仿宋" w:hAnsi="仿宋" w:eastAsia="仿宋"/>
          <w:sz w:val="24"/>
        </w:rPr>
        <w:t>　　谈判文件需编制三份(一份为正本,两份为副本)，</w:t>
      </w:r>
      <w:r>
        <w:rPr>
          <w:rFonts w:hint="eastAsia" w:ascii="仿宋" w:hAnsi="仿宋" w:eastAsia="仿宋"/>
          <w:color w:val="FF0000"/>
          <w:sz w:val="24"/>
        </w:rPr>
        <w:t>胶装装订成册，</w:t>
      </w:r>
      <w:r>
        <w:rPr>
          <w:rFonts w:hint="eastAsia" w:ascii="仿宋" w:hAnsi="仿宋" w:eastAsia="仿宋"/>
          <w:sz w:val="24"/>
        </w:rPr>
        <w:t>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pPr>
        <w:spacing w:line="360" w:lineRule="auto"/>
        <w:rPr>
          <w:rFonts w:ascii="仿宋" w:hAnsi="仿宋" w:eastAsia="仿宋"/>
          <w:sz w:val="24"/>
        </w:rPr>
      </w:pPr>
    </w:p>
    <w:p>
      <w:pPr>
        <w:spacing w:line="360" w:lineRule="auto"/>
        <w:rPr>
          <w:rFonts w:ascii="仿宋" w:hAnsi="仿宋" w:eastAsia="仿宋"/>
          <w:b/>
          <w:sz w:val="24"/>
        </w:rPr>
      </w:pPr>
      <w:r>
        <w:rPr>
          <w:rFonts w:hint="eastAsia" w:ascii="仿宋" w:hAnsi="仿宋" w:eastAsia="仿宋"/>
          <w:b/>
          <w:sz w:val="24"/>
        </w:rPr>
        <w:t>十一、细微偏差修正</w:t>
      </w:r>
    </w:p>
    <w:p>
      <w:pPr>
        <w:spacing w:line="360" w:lineRule="auto"/>
        <w:rPr>
          <w:rFonts w:ascii="仿宋" w:hAnsi="仿宋" w:eastAsia="仿宋"/>
          <w:sz w:val="24"/>
        </w:rPr>
      </w:pPr>
      <w:r>
        <w:rPr>
          <w:rFonts w:hint="eastAsia" w:ascii="仿宋" w:hAnsi="仿宋" w:eastAsia="仿宋"/>
          <w:sz w:val="24"/>
        </w:rPr>
        <w:t>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pPr>
        <w:spacing w:line="360" w:lineRule="auto"/>
        <w:rPr>
          <w:rFonts w:ascii="仿宋" w:hAnsi="仿宋" w:eastAsia="仿宋"/>
          <w:sz w:val="24"/>
        </w:rPr>
      </w:pPr>
      <w:r>
        <w:rPr>
          <w:rFonts w:hint="eastAsia" w:ascii="仿宋" w:hAnsi="仿宋" w:eastAsia="仿宋"/>
          <w:sz w:val="24"/>
        </w:rPr>
        <w:t>　　经谈判委员会确认为通过初审的谈判文件，若存在个别计算或累计方面的算术错误可视为谈判文件存在细微偏差并按照以下原则进行修正：</w:t>
      </w:r>
    </w:p>
    <w:p>
      <w:pPr>
        <w:spacing w:line="360" w:lineRule="auto"/>
        <w:rPr>
          <w:rFonts w:ascii="仿宋" w:hAnsi="仿宋" w:eastAsia="仿宋"/>
          <w:sz w:val="24"/>
        </w:rPr>
      </w:pPr>
      <w:r>
        <w:rPr>
          <w:rFonts w:hint="eastAsia" w:ascii="仿宋" w:hAnsi="仿宋" w:eastAsia="仿宋"/>
          <w:sz w:val="24"/>
        </w:rPr>
        <w:t>　　1、用数字表示的数额与用文字表示的数额不一致时，以文字数额为准进行修正；</w:t>
      </w:r>
    </w:p>
    <w:p>
      <w:pPr>
        <w:spacing w:line="360" w:lineRule="auto"/>
        <w:rPr>
          <w:rFonts w:ascii="仿宋" w:hAnsi="仿宋" w:eastAsia="仿宋"/>
          <w:sz w:val="24"/>
        </w:rPr>
      </w:pPr>
      <w:r>
        <w:rPr>
          <w:rFonts w:hint="eastAsia" w:ascii="仿宋" w:hAnsi="仿宋" w:eastAsia="仿宋"/>
          <w:sz w:val="24"/>
        </w:rPr>
        <w:t>　　2、单价与采购量的乘积与总价不一致时，通常以单价为准。除非谈判委员会认为单价有明显的小数点错位，此时应以合价为准，并修正单价；</w:t>
      </w:r>
    </w:p>
    <w:p>
      <w:pPr>
        <w:spacing w:line="360" w:lineRule="auto"/>
        <w:rPr>
          <w:rFonts w:ascii="仿宋" w:hAnsi="仿宋" w:eastAsia="仿宋"/>
          <w:sz w:val="24"/>
        </w:rPr>
      </w:pPr>
      <w:r>
        <w:rPr>
          <w:rFonts w:hint="eastAsia" w:ascii="仿宋" w:hAnsi="仿宋" w:eastAsia="仿宋"/>
          <w:sz w:val="24"/>
        </w:rPr>
        <w:t>　　3、分项累计与谈判总价不一致时，通常以分项累计为准。除非谈判委员会认为分项有明显的小数点错位，此时应以谈判总价为准，并修正分项投标；</w:t>
      </w:r>
    </w:p>
    <w:p>
      <w:pPr>
        <w:spacing w:line="360" w:lineRule="auto"/>
        <w:rPr>
          <w:rFonts w:ascii="仿宋" w:hAnsi="仿宋" w:eastAsia="仿宋"/>
          <w:sz w:val="24"/>
        </w:rPr>
      </w:pPr>
      <w:r>
        <w:rPr>
          <w:rFonts w:hint="eastAsia" w:ascii="仿宋" w:hAnsi="仿宋" w:eastAsia="仿宋"/>
          <w:sz w:val="24"/>
        </w:rPr>
        <w:t>　　4、谈判人对该谈判有声明的，以该谈判声明为准。</w:t>
      </w:r>
    </w:p>
    <w:p>
      <w:pPr>
        <w:spacing w:line="360" w:lineRule="auto"/>
        <w:rPr>
          <w:rFonts w:ascii="仿宋" w:hAnsi="仿宋" w:eastAsia="仿宋"/>
          <w:sz w:val="24"/>
        </w:rPr>
      </w:pPr>
      <w:r>
        <w:rPr>
          <w:rFonts w:hint="eastAsia" w:ascii="仿宋" w:hAnsi="仿宋" w:eastAsia="仿宋"/>
          <w:sz w:val="24"/>
        </w:rPr>
        <w:t>　　按照上述修正调整后的谈判经谈判人确认后，对谈判人起约束作用。</w:t>
      </w:r>
    </w:p>
    <w:p>
      <w:pPr>
        <w:spacing w:line="360" w:lineRule="auto"/>
        <w:rPr>
          <w:rFonts w:ascii="仿宋" w:hAnsi="仿宋" w:eastAsia="仿宋"/>
          <w:sz w:val="24"/>
        </w:rPr>
      </w:pPr>
      <w:r>
        <w:rPr>
          <w:rFonts w:hint="eastAsia" w:ascii="仿宋" w:hAnsi="仿宋" w:eastAsia="仿宋"/>
          <w:sz w:val="24"/>
        </w:rPr>
        <w:t>　　经谈判委员会确认存在细微偏差的谈判文件，谈判委员会可以于谈判结果宣布之前要求谈判人对谈判文件中存在的细微偏差进行修正，若谈判人拒绝修正，则其谈判文件将被拒绝。</w:t>
      </w:r>
    </w:p>
    <w:p>
      <w:pPr>
        <w:spacing w:line="360" w:lineRule="auto"/>
        <w:rPr>
          <w:rFonts w:ascii="仿宋" w:hAnsi="仿宋" w:eastAsia="仿宋"/>
          <w:sz w:val="24"/>
        </w:rPr>
      </w:pPr>
    </w:p>
    <w:p>
      <w:pPr>
        <w:spacing w:line="360" w:lineRule="auto"/>
        <w:rPr>
          <w:rFonts w:ascii="仿宋" w:hAnsi="仿宋" w:eastAsia="仿宋"/>
          <w:b/>
          <w:sz w:val="24"/>
        </w:rPr>
      </w:pPr>
      <w:r>
        <w:rPr>
          <w:rFonts w:hint="eastAsia" w:ascii="仿宋" w:hAnsi="仿宋" w:eastAsia="仿宋"/>
          <w:b/>
          <w:sz w:val="24"/>
        </w:rPr>
        <w:t>十二、谈判代理人会同采购人接受或拒绝任何投标或所有投标的权利</w:t>
      </w:r>
    </w:p>
    <w:p>
      <w:pPr>
        <w:spacing w:line="360" w:lineRule="auto"/>
        <w:rPr>
          <w:rFonts w:ascii="仿宋" w:hAnsi="仿宋" w:eastAsia="仿宋"/>
          <w:sz w:val="24"/>
        </w:rPr>
      </w:pPr>
      <w:r>
        <w:rPr>
          <w:rFonts w:hint="eastAsia" w:ascii="仿宋" w:hAnsi="仿宋" w:eastAsia="仿宋"/>
          <w:sz w:val="24"/>
        </w:rPr>
        <w:t>　　出现下列任何一种情形，谈判代理人和采购人保留拒绝任何投标以及宣布谈判程序无效的权力：</w:t>
      </w:r>
    </w:p>
    <w:p>
      <w:pPr>
        <w:spacing w:line="360" w:lineRule="auto"/>
        <w:rPr>
          <w:rFonts w:ascii="仿宋" w:hAnsi="仿宋" w:eastAsia="仿宋"/>
          <w:sz w:val="24"/>
        </w:rPr>
      </w:pPr>
      <w:r>
        <w:rPr>
          <w:rFonts w:hint="eastAsia" w:ascii="仿宋" w:hAnsi="仿宋" w:eastAsia="仿宋"/>
          <w:sz w:val="24"/>
        </w:rPr>
        <w:t>　　1、出现影响采购公正的违法、违规行为的；</w:t>
      </w:r>
    </w:p>
    <w:p>
      <w:pPr>
        <w:spacing w:line="360" w:lineRule="auto"/>
        <w:rPr>
          <w:rFonts w:ascii="仿宋" w:hAnsi="仿宋" w:eastAsia="仿宋"/>
          <w:sz w:val="24"/>
        </w:rPr>
      </w:pPr>
      <w:r>
        <w:rPr>
          <w:rFonts w:hint="eastAsia" w:ascii="仿宋" w:hAnsi="仿宋" w:eastAsia="仿宋"/>
          <w:sz w:val="24"/>
        </w:rPr>
        <w:t>　　2、因重大变故采购任务取消的。</w:t>
      </w:r>
    </w:p>
    <w:p>
      <w:pPr>
        <w:spacing w:line="360" w:lineRule="auto"/>
        <w:rPr>
          <w:rFonts w:ascii="仿宋" w:hAnsi="仿宋" w:eastAsia="仿宋"/>
          <w:sz w:val="24"/>
        </w:rPr>
      </w:pPr>
    </w:p>
    <w:p>
      <w:pPr>
        <w:spacing w:line="360" w:lineRule="auto"/>
        <w:rPr>
          <w:rFonts w:ascii="仿宋" w:hAnsi="仿宋" w:eastAsia="仿宋"/>
          <w:b/>
          <w:sz w:val="24"/>
        </w:rPr>
      </w:pPr>
      <w:r>
        <w:rPr>
          <w:rFonts w:hint="eastAsia" w:ascii="仿宋" w:hAnsi="仿宋" w:eastAsia="仿宋"/>
          <w:b/>
          <w:sz w:val="24"/>
        </w:rPr>
        <w:t>十三、签署合同</w:t>
      </w:r>
    </w:p>
    <w:p>
      <w:pPr>
        <w:spacing w:line="360" w:lineRule="auto"/>
        <w:rPr>
          <w:rFonts w:ascii="仿宋" w:hAnsi="仿宋" w:eastAsia="仿宋"/>
          <w:sz w:val="24"/>
        </w:rPr>
      </w:pPr>
      <w:r>
        <w:rPr>
          <w:rFonts w:hint="eastAsia" w:ascii="仿宋" w:hAnsi="仿宋" w:eastAsia="仿宋"/>
          <w:sz w:val="24"/>
        </w:rPr>
        <w:t>　　中标人在收到中标通知书后，在中标通知书上规定的时间内，应委派授权代表联系采购人签订合同。未在规定时间内联系采购人签订合同的，招投标管理办公室有权取消中标人的中标资格。</w:t>
      </w:r>
    </w:p>
    <w:p>
      <w:pPr>
        <w:spacing w:line="360" w:lineRule="auto"/>
        <w:rPr>
          <w:rFonts w:ascii="仿宋" w:hAnsi="仿宋" w:eastAsia="仿宋"/>
          <w:sz w:val="24"/>
        </w:rPr>
      </w:pPr>
    </w:p>
    <w:p>
      <w:pPr>
        <w:spacing w:line="360" w:lineRule="auto"/>
        <w:rPr>
          <w:rFonts w:ascii="仿宋" w:hAnsi="仿宋" w:eastAsia="仿宋"/>
          <w:b/>
          <w:sz w:val="24"/>
        </w:rPr>
      </w:pPr>
      <w:r>
        <w:rPr>
          <w:rFonts w:hint="eastAsia" w:ascii="仿宋" w:hAnsi="仿宋" w:eastAsia="仿宋"/>
          <w:b/>
          <w:sz w:val="24"/>
        </w:rPr>
        <w:t>十四、质疑</w:t>
      </w:r>
    </w:p>
    <w:p>
      <w:pPr>
        <w:spacing w:line="360" w:lineRule="auto"/>
        <w:rPr>
          <w:rFonts w:ascii="仿宋" w:hAnsi="仿宋" w:eastAsia="仿宋"/>
          <w:sz w:val="24"/>
        </w:rPr>
      </w:pPr>
      <w:r>
        <w:rPr>
          <w:rFonts w:hint="eastAsia" w:ascii="仿宋" w:hAnsi="仿宋" w:eastAsia="仿宋"/>
          <w:sz w:val="24"/>
        </w:rPr>
        <w:t>　　如谈判人对谈判结果有质疑，须在公示期内以质疑函的形式将全部质疑内容一次性向招标代理人提出，否则不予接收。函中需明确质疑对象、内容，同时提供证明其质疑内容的材料。</w:t>
      </w:r>
    </w:p>
    <w:p>
      <w:pPr>
        <w:spacing w:line="360" w:lineRule="auto"/>
        <w:rPr>
          <w:rFonts w:ascii="仿宋" w:hAnsi="仿宋" w:eastAsia="仿宋"/>
          <w:sz w:val="24"/>
        </w:rPr>
      </w:pPr>
      <w:r>
        <w:rPr>
          <w:rFonts w:hint="eastAsia" w:ascii="仿宋" w:hAnsi="仿宋" w:eastAsia="仿宋"/>
          <w:sz w:val="24"/>
        </w:rPr>
        <w:t>　　提出质疑的谈判人应保证提出质疑内容及相应证明材料的真实性及来源的合法性，并承担相应的法律责任。</w:t>
      </w:r>
    </w:p>
    <w:p>
      <w:pPr>
        <w:spacing w:line="360" w:lineRule="auto"/>
        <w:rPr>
          <w:rFonts w:ascii="仿宋" w:hAnsi="仿宋" w:eastAsia="仿宋"/>
          <w:sz w:val="24"/>
        </w:rPr>
      </w:pPr>
      <w:r>
        <w:rPr>
          <w:rFonts w:hint="eastAsia" w:ascii="仿宋" w:hAnsi="仿宋" w:eastAsia="仿宋"/>
          <w:sz w:val="24"/>
        </w:rPr>
        <w:t>　　属以下情况之一者，为不合格质疑或投诉，不予受理：</w:t>
      </w:r>
    </w:p>
    <w:p>
      <w:pPr>
        <w:spacing w:line="360" w:lineRule="auto"/>
        <w:rPr>
          <w:rFonts w:ascii="仿宋" w:hAnsi="仿宋" w:eastAsia="仿宋"/>
          <w:sz w:val="24"/>
        </w:rPr>
      </w:pPr>
      <w:r>
        <w:rPr>
          <w:rFonts w:hint="eastAsia" w:ascii="仿宋" w:hAnsi="仿宋" w:eastAsia="仿宋"/>
          <w:sz w:val="24"/>
        </w:rPr>
        <w:t>　　1、质疑人不是该项目的投标人；</w:t>
      </w:r>
    </w:p>
    <w:p>
      <w:pPr>
        <w:spacing w:line="360" w:lineRule="auto"/>
        <w:rPr>
          <w:rFonts w:ascii="仿宋" w:hAnsi="仿宋" w:eastAsia="仿宋"/>
          <w:sz w:val="24"/>
        </w:rPr>
      </w:pPr>
      <w:r>
        <w:rPr>
          <w:rFonts w:hint="eastAsia" w:ascii="仿宋" w:hAnsi="仿宋" w:eastAsia="仿宋"/>
          <w:sz w:val="24"/>
        </w:rPr>
        <w:t>　　2、质疑投诉文件无合格签字及盖章的；</w:t>
      </w:r>
    </w:p>
    <w:p>
      <w:pPr>
        <w:spacing w:line="360" w:lineRule="auto"/>
        <w:rPr>
          <w:rFonts w:ascii="仿宋" w:hAnsi="仿宋" w:eastAsia="仿宋"/>
          <w:sz w:val="24"/>
        </w:rPr>
      </w:pPr>
      <w:r>
        <w:rPr>
          <w:rFonts w:hint="eastAsia" w:ascii="仿宋" w:hAnsi="仿宋" w:eastAsia="仿宋"/>
          <w:sz w:val="24"/>
        </w:rPr>
        <w:t>　　3、质疑投诉文件无明确质疑对象或内容的；</w:t>
      </w:r>
    </w:p>
    <w:p>
      <w:pPr>
        <w:spacing w:line="360" w:lineRule="auto"/>
        <w:rPr>
          <w:rFonts w:ascii="仿宋" w:hAnsi="仿宋" w:eastAsia="仿宋"/>
          <w:sz w:val="24"/>
        </w:rPr>
      </w:pPr>
      <w:r>
        <w:rPr>
          <w:rFonts w:hint="eastAsia" w:ascii="仿宋" w:hAnsi="仿宋" w:eastAsia="仿宋"/>
          <w:sz w:val="24"/>
        </w:rPr>
        <w:t>　　4、未提供详实有效的证明材料；</w:t>
      </w:r>
    </w:p>
    <w:p>
      <w:pPr>
        <w:spacing w:line="360" w:lineRule="auto"/>
        <w:rPr>
          <w:rFonts w:ascii="仿宋" w:hAnsi="仿宋" w:eastAsia="仿宋"/>
          <w:sz w:val="24"/>
        </w:rPr>
      </w:pPr>
      <w:r>
        <w:rPr>
          <w:rFonts w:hint="eastAsia" w:ascii="仿宋" w:hAnsi="仿宋" w:eastAsia="仿宋"/>
          <w:sz w:val="24"/>
        </w:rPr>
        <w:t>　　5、质疑投诉人多次提供虚假情况的；</w:t>
      </w:r>
    </w:p>
    <w:p>
      <w:pPr>
        <w:spacing w:line="360" w:lineRule="auto"/>
        <w:rPr>
          <w:rFonts w:ascii="仿宋" w:hAnsi="仿宋" w:eastAsia="仿宋"/>
          <w:color w:val="000000"/>
          <w:sz w:val="24"/>
        </w:rPr>
      </w:pPr>
      <w:r>
        <w:rPr>
          <w:rFonts w:hint="eastAsia" w:ascii="仿宋" w:hAnsi="仿宋" w:eastAsia="仿宋"/>
          <w:sz w:val="24"/>
        </w:rPr>
        <w:t>　　6、非在公示期内送达的。</w:t>
      </w:r>
    </w:p>
    <w:p>
      <w:pPr>
        <w:widowControl/>
        <w:jc w:val="left"/>
        <w:rPr>
          <w:rFonts w:ascii="仿宋" w:hAnsi="仿宋" w:eastAsia="仿宋"/>
          <w:color w:val="000000"/>
          <w:sz w:val="24"/>
        </w:rPr>
      </w:pPr>
    </w:p>
    <w:p>
      <w:pPr>
        <w:pageBreakBefore/>
        <w:jc w:val="left"/>
        <w:rPr>
          <w:rFonts w:ascii="仿宋" w:hAnsi="仿宋" w:eastAsia="仿宋"/>
          <w:color w:val="000000"/>
          <w:sz w:val="24"/>
        </w:rPr>
      </w:pPr>
    </w:p>
    <w:p>
      <w:pPr>
        <w:spacing w:before="156" w:beforeLines="50" w:after="312" w:afterLines="100"/>
        <w:jc w:val="center"/>
        <w:rPr>
          <w:rFonts w:ascii="华文新魏" w:hAnsi="仿宋" w:eastAsia="华文新魏"/>
          <w:b/>
          <w:color w:val="000000"/>
          <w:sz w:val="48"/>
        </w:rPr>
      </w:pPr>
      <w:r>
        <w:rPr>
          <w:rFonts w:hint="eastAsia" w:ascii="华文新魏" w:hAnsi="仿宋" w:eastAsia="华文新魏"/>
          <w:b/>
          <w:color w:val="000000"/>
          <w:sz w:val="48"/>
        </w:rPr>
        <w:t>项目需求</w:t>
      </w:r>
    </w:p>
    <w:p>
      <w:pPr>
        <w:ind w:firstLine="422" w:firstLineChars="200"/>
        <w:outlineLvl w:val="0"/>
        <w:rPr>
          <w:b/>
          <w:szCs w:val="21"/>
        </w:rPr>
      </w:pPr>
      <w:r>
        <w:rPr>
          <w:rFonts w:hint="eastAsia"/>
          <w:b/>
          <w:szCs w:val="21"/>
        </w:rPr>
        <w:t>一、采购清单</w:t>
      </w:r>
    </w:p>
    <w:tbl>
      <w:tblPr>
        <w:tblStyle w:val="16"/>
        <w:tblpPr w:leftFromText="180" w:rightFromText="180" w:vertAnchor="text" w:horzAnchor="page" w:tblpX="1222" w:tblpY="260"/>
        <w:tblOverlap w:val="never"/>
        <w:tblW w:w="9077" w:type="dxa"/>
        <w:tblInd w:w="0" w:type="dxa"/>
        <w:tblLayout w:type="fixed"/>
        <w:tblCellMar>
          <w:top w:w="0" w:type="dxa"/>
          <w:left w:w="108" w:type="dxa"/>
          <w:bottom w:w="0" w:type="dxa"/>
          <w:right w:w="108" w:type="dxa"/>
        </w:tblCellMar>
      </w:tblPr>
      <w:tblGrid>
        <w:gridCol w:w="709"/>
        <w:gridCol w:w="1985"/>
        <w:gridCol w:w="1989"/>
        <w:gridCol w:w="1124"/>
        <w:gridCol w:w="1144"/>
        <w:gridCol w:w="2126"/>
      </w:tblGrid>
      <w:tr>
        <w:tblPrEx>
          <w:tblCellMar>
            <w:top w:w="0" w:type="dxa"/>
            <w:left w:w="108" w:type="dxa"/>
            <w:bottom w:w="0" w:type="dxa"/>
            <w:right w:w="108" w:type="dxa"/>
          </w:tblCellMar>
        </w:tblPrEx>
        <w:trPr>
          <w:trHeight w:val="510" w:hRule="atLeast"/>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序号</w:t>
            </w:r>
          </w:p>
        </w:tc>
        <w:tc>
          <w:tcPr>
            <w:tcW w:w="198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货物名称</w:t>
            </w:r>
          </w:p>
        </w:tc>
        <w:tc>
          <w:tcPr>
            <w:tcW w:w="198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规格型号</w:t>
            </w:r>
          </w:p>
        </w:tc>
        <w:tc>
          <w:tcPr>
            <w:tcW w:w="112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单位</w:t>
            </w:r>
          </w:p>
        </w:tc>
        <w:tc>
          <w:tcPr>
            <w:tcW w:w="114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备注</w:t>
            </w:r>
          </w:p>
        </w:tc>
        <w:tc>
          <w:tcPr>
            <w:tcW w:w="212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themeColor="text1"/>
                <w:kern w:val="0"/>
                <w:szCs w:val="21"/>
                <w14:textFill>
                  <w14:solidFill>
                    <w14:schemeClr w14:val="tx1"/>
                  </w14:solidFill>
                </w14:textFill>
              </w:rPr>
              <w:t>预算单价汇总限额（元）</w:t>
            </w:r>
          </w:p>
        </w:tc>
      </w:tr>
      <w:tr>
        <w:tblPrEx>
          <w:tblCellMar>
            <w:top w:w="0" w:type="dxa"/>
            <w:left w:w="108" w:type="dxa"/>
            <w:bottom w:w="0" w:type="dxa"/>
            <w:right w:w="108" w:type="dxa"/>
          </w:tblCellMar>
        </w:tblPrEx>
        <w:trPr>
          <w:trHeight w:val="492" w:hRule="atLeast"/>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198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olor w:val="000000"/>
                <w:szCs w:val="21"/>
              </w:rPr>
              <w:t>爱科来糖化血红蛋白分析仪HA-8190V的配套试剂</w:t>
            </w:r>
          </w:p>
        </w:tc>
        <w:tc>
          <w:tcPr>
            <w:tcW w:w="1989" w:type="dxa"/>
            <w:tcBorders>
              <w:top w:val="single" w:color="auto" w:sz="4" w:space="0"/>
              <w:left w:val="nil"/>
              <w:bottom w:val="single" w:color="auto" w:sz="4" w:space="0"/>
              <w:right w:val="single" w:color="auto" w:sz="4" w:space="0"/>
            </w:tcBorders>
            <w:vAlign w:val="center"/>
          </w:tcPr>
          <w:p>
            <w:pPr>
              <w:widowControl/>
              <w:jc w:val="center"/>
              <w:rPr>
                <w:rFonts w:ascii="宋体" w:hAnsi="宋体"/>
                <w:color w:val="000000"/>
                <w:szCs w:val="21"/>
              </w:rPr>
            </w:pPr>
            <w:r>
              <w:rPr>
                <w:rFonts w:hint="eastAsia" w:ascii="宋体" w:hAnsi="宋体"/>
                <w:color w:val="000000"/>
                <w:szCs w:val="21"/>
              </w:rPr>
              <w:t>详见采购明细清单</w:t>
            </w:r>
          </w:p>
        </w:tc>
        <w:tc>
          <w:tcPr>
            <w:tcW w:w="1124" w:type="dxa"/>
            <w:tcBorders>
              <w:top w:val="single" w:color="auto" w:sz="4" w:space="0"/>
              <w:left w:val="nil"/>
              <w:bottom w:val="single" w:color="auto" w:sz="4" w:space="0"/>
              <w:right w:val="single" w:color="auto" w:sz="4" w:space="0"/>
            </w:tcBorders>
            <w:vAlign w:val="center"/>
          </w:tcPr>
          <w:p>
            <w:pPr>
              <w:widowControl/>
              <w:jc w:val="center"/>
              <w:rPr>
                <w:rFonts w:ascii="宋体" w:hAnsi="宋体"/>
                <w:color w:val="000000"/>
                <w:szCs w:val="21"/>
              </w:rPr>
            </w:pPr>
            <w:r>
              <w:rPr>
                <w:rFonts w:hint="eastAsia" w:ascii="宋体" w:hAnsi="宋体"/>
                <w:color w:val="000000"/>
                <w:szCs w:val="21"/>
              </w:rPr>
              <w:t>详见清单</w:t>
            </w:r>
          </w:p>
        </w:tc>
        <w:tc>
          <w:tcPr>
            <w:tcW w:w="114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FF0000"/>
                <w:kern w:val="0"/>
                <w:szCs w:val="21"/>
              </w:rPr>
            </w:pPr>
            <w:r>
              <w:rPr>
                <w:rFonts w:hint="eastAsia" w:ascii="宋体" w:hAnsi="宋体" w:cs="宋体"/>
                <w:b/>
                <w:color w:val="FF0000"/>
                <w:szCs w:val="21"/>
              </w:rPr>
              <w:t>接受进口</w:t>
            </w:r>
          </w:p>
        </w:tc>
        <w:tc>
          <w:tcPr>
            <w:tcW w:w="2126" w:type="dxa"/>
            <w:tcBorders>
              <w:top w:val="single" w:color="auto" w:sz="4" w:space="0"/>
              <w:left w:val="nil"/>
              <w:bottom w:val="single" w:color="auto" w:sz="4" w:space="0"/>
              <w:right w:val="single" w:color="auto" w:sz="4" w:space="0"/>
            </w:tcBorders>
            <w:vAlign w:val="center"/>
          </w:tcPr>
          <w:p>
            <w:pPr>
              <w:widowControl/>
              <w:jc w:val="center"/>
              <w:rPr>
                <w:rFonts w:ascii="宋体" w:hAnsi="宋体"/>
                <w:color w:val="000000"/>
                <w:szCs w:val="21"/>
              </w:rPr>
            </w:pPr>
            <w:r>
              <w:rPr>
                <w:rStyle w:val="66"/>
                <w:rFonts w:hint="eastAsia"/>
                <w:lang w:bidi="ar"/>
              </w:rPr>
              <w:t>61013</w:t>
            </w:r>
          </w:p>
        </w:tc>
      </w:tr>
    </w:tbl>
    <w:p>
      <w:pPr>
        <w:ind w:right="480"/>
        <w:rPr>
          <w:rFonts w:ascii="宋体" w:hAnsi="宋体"/>
          <w:b/>
          <w:szCs w:val="21"/>
        </w:rPr>
      </w:pPr>
    </w:p>
    <w:p>
      <w:pPr>
        <w:ind w:firstLine="422" w:firstLineChars="200"/>
        <w:rPr>
          <w:rFonts w:ascii="宋体" w:hAnsi="宋体"/>
          <w:b/>
          <w:szCs w:val="21"/>
        </w:rPr>
      </w:pPr>
      <w:r>
        <w:rPr>
          <w:rFonts w:hint="eastAsia" w:ascii="宋体" w:hAnsi="宋体"/>
          <w:b/>
          <w:szCs w:val="21"/>
        </w:rPr>
        <w:t>二、采购明细清单</w:t>
      </w:r>
    </w:p>
    <w:tbl>
      <w:tblPr>
        <w:tblStyle w:val="16"/>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095"/>
        <w:gridCol w:w="2947"/>
        <w:gridCol w:w="732"/>
        <w:gridCol w:w="1117"/>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65" w:type="dxa"/>
            <w:vAlign w:val="center"/>
          </w:tcPr>
          <w:p>
            <w:pPr>
              <w:jc w:val="center"/>
              <w:rPr>
                <w:bCs/>
                <w:szCs w:val="21"/>
              </w:rPr>
            </w:pPr>
            <w:r>
              <w:rPr>
                <w:rFonts w:hint="eastAsia"/>
                <w:bCs/>
                <w:szCs w:val="21"/>
              </w:rPr>
              <w:t>序号</w:t>
            </w:r>
          </w:p>
        </w:tc>
        <w:tc>
          <w:tcPr>
            <w:tcW w:w="2095" w:type="dxa"/>
            <w:vAlign w:val="center"/>
          </w:tcPr>
          <w:p>
            <w:pPr>
              <w:jc w:val="center"/>
              <w:rPr>
                <w:bCs/>
                <w:szCs w:val="21"/>
              </w:rPr>
            </w:pPr>
            <w:r>
              <w:rPr>
                <w:rFonts w:hint="eastAsia"/>
              </w:rPr>
              <w:t>品名</w:t>
            </w:r>
          </w:p>
        </w:tc>
        <w:tc>
          <w:tcPr>
            <w:tcW w:w="2947" w:type="dxa"/>
            <w:vAlign w:val="center"/>
          </w:tcPr>
          <w:p>
            <w:pPr>
              <w:jc w:val="center"/>
              <w:rPr>
                <w:bCs/>
                <w:szCs w:val="21"/>
              </w:rPr>
            </w:pPr>
            <w:r>
              <w:rPr>
                <w:rFonts w:hint="eastAsia"/>
              </w:rPr>
              <w:t>规格型号</w:t>
            </w:r>
          </w:p>
        </w:tc>
        <w:tc>
          <w:tcPr>
            <w:tcW w:w="732" w:type="dxa"/>
            <w:vAlign w:val="center"/>
          </w:tcPr>
          <w:p>
            <w:pPr>
              <w:jc w:val="center"/>
              <w:rPr>
                <w:bCs/>
                <w:szCs w:val="21"/>
              </w:rPr>
            </w:pPr>
            <w:r>
              <w:rPr>
                <w:rFonts w:hint="eastAsia"/>
              </w:rPr>
              <w:t>计量单位</w:t>
            </w:r>
          </w:p>
        </w:tc>
        <w:tc>
          <w:tcPr>
            <w:tcW w:w="1117" w:type="dxa"/>
            <w:vAlign w:val="center"/>
          </w:tcPr>
          <w:p>
            <w:pPr>
              <w:jc w:val="center"/>
              <w:rPr>
                <w:b/>
                <w:bCs/>
                <w:color w:val="FF0000"/>
                <w:szCs w:val="21"/>
              </w:rPr>
            </w:pPr>
            <w:r>
              <w:rPr>
                <w:rFonts w:hint="eastAsia"/>
                <w:b/>
                <w:bCs/>
                <w:color w:val="FF0000"/>
                <w:szCs w:val="21"/>
              </w:rPr>
              <w:t>备注</w:t>
            </w:r>
          </w:p>
        </w:tc>
        <w:tc>
          <w:tcPr>
            <w:tcW w:w="1695" w:type="dxa"/>
            <w:vAlign w:val="center"/>
          </w:tcPr>
          <w:p>
            <w:pPr>
              <w:jc w:val="center"/>
              <w:rPr>
                <w:b/>
                <w:bCs/>
                <w:color w:val="FF0000"/>
                <w:szCs w:val="21"/>
              </w:rPr>
            </w:pPr>
            <w:r>
              <w:rPr>
                <w:rFonts w:hint="eastAsia"/>
                <w:b/>
                <w:bCs/>
                <w:color w:val="FF0000"/>
                <w:szCs w:val="21"/>
              </w:rPr>
              <w:t>预算限额（元）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65" w:type="dxa"/>
            <w:vAlign w:val="center"/>
          </w:tcPr>
          <w:p>
            <w:pPr>
              <w:jc w:val="center"/>
              <w:rPr>
                <w:rFonts w:asciiTheme="minorEastAsia" w:hAnsiTheme="minorEastAsia" w:eastAsiaTheme="minorEastAsia"/>
                <w:bCs/>
                <w:szCs w:val="21"/>
              </w:rPr>
            </w:pPr>
            <w:r>
              <w:rPr>
                <w:rFonts w:hint="eastAsia"/>
                <w:bCs/>
                <w:szCs w:val="21"/>
              </w:rPr>
              <w:t>1</w:t>
            </w:r>
          </w:p>
        </w:tc>
        <w:tc>
          <w:tcPr>
            <w:tcW w:w="2095" w:type="dxa"/>
            <w:vAlign w:val="center"/>
          </w:tcPr>
          <w:p>
            <w:pPr>
              <w:jc w:val="center"/>
              <w:rPr>
                <w:rFonts w:asciiTheme="minorEastAsia" w:hAnsiTheme="minorEastAsia" w:eastAsiaTheme="minorEastAsia"/>
                <w:szCs w:val="21"/>
              </w:rPr>
            </w:pPr>
            <w:r>
              <w:rPr>
                <w:rFonts w:hint="eastAsia"/>
                <w:color w:val="000000"/>
                <w:sz w:val="22"/>
              </w:rPr>
              <w:t>糖化血红蛋白分析用洗脱液ELUENT 90A</w:t>
            </w:r>
          </w:p>
        </w:tc>
        <w:tc>
          <w:tcPr>
            <w:tcW w:w="2947" w:type="dxa"/>
            <w:vAlign w:val="center"/>
          </w:tcPr>
          <w:p>
            <w:pPr>
              <w:jc w:val="left"/>
              <w:rPr>
                <w:rFonts w:asciiTheme="minorEastAsia" w:hAnsiTheme="minorEastAsia" w:eastAsiaTheme="minorEastAsia"/>
                <w:szCs w:val="21"/>
              </w:rPr>
            </w:pPr>
            <w:r>
              <w:rPr>
                <w:rFonts w:hint="eastAsia"/>
                <w:color w:val="000000"/>
                <w:sz w:val="22"/>
              </w:rPr>
              <w:t>600 mL×4 袋/盒</w:t>
            </w:r>
          </w:p>
        </w:tc>
        <w:tc>
          <w:tcPr>
            <w:tcW w:w="732" w:type="dxa"/>
            <w:vAlign w:val="center"/>
          </w:tcPr>
          <w:p>
            <w:pPr>
              <w:jc w:val="center"/>
              <w:rPr>
                <w:rFonts w:asciiTheme="minorEastAsia" w:hAnsiTheme="minorEastAsia" w:eastAsiaTheme="minorEastAsia"/>
                <w:szCs w:val="21"/>
              </w:rPr>
            </w:pPr>
            <w:r>
              <w:rPr>
                <w:rFonts w:hint="eastAsia"/>
                <w:sz w:val="20"/>
                <w:szCs w:val="20"/>
              </w:rPr>
              <w:t>盒</w:t>
            </w:r>
          </w:p>
        </w:tc>
        <w:tc>
          <w:tcPr>
            <w:tcW w:w="1117" w:type="dxa"/>
            <w:vAlign w:val="center"/>
          </w:tcPr>
          <w:p>
            <w:pPr>
              <w:rPr>
                <w:rFonts w:asciiTheme="minorEastAsia" w:hAnsiTheme="minorEastAsia" w:eastAsiaTheme="minorEastAsia"/>
                <w:b/>
                <w:bCs/>
                <w:color w:val="FF0000"/>
                <w:szCs w:val="21"/>
              </w:rPr>
            </w:pPr>
            <w:r>
              <w:rPr>
                <w:rFonts w:hint="eastAsia"/>
                <w:b/>
                <w:bCs/>
                <w:color w:val="FF0000"/>
                <w:szCs w:val="21"/>
              </w:rPr>
              <w:t>接受进口</w:t>
            </w:r>
          </w:p>
        </w:tc>
        <w:tc>
          <w:tcPr>
            <w:tcW w:w="1695" w:type="dxa"/>
            <w:vAlign w:val="center"/>
          </w:tcPr>
          <w:p>
            <w:pPr>
              <w:jc w:val="center"/>
              <w:rPr>
                <w:rFonts w:asciiTheme="minorEastAsia" w:hAnsiTheme="minorEastAsia" w:eastAsiaTheme="minorEastAsia"/>
                <w:b/>
                <w:bCs/>
                <w:color w:val="FF0000"/>
                <w:szCs w:val="21"/>
              </w:rPr>
            </w:pPr>
            <w:r>
              <w:rPr>
                <w:rFonts w:hint="eastAsia"/>
                <w:sz w:val="18"/>
                <w:szCs w:val="18"/>
              </w:rPr>
              <w:t>9215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65" w:type="dxa"/>
            <w:vAlign w:val="center"/>
          </w:tcPr>
          <w:p>
            <w:pPr>
              <w:jc w:val="center"/>
              <w:rPr>
                <w:rFonts w:asciiTheme="minorEastAsia" w:hAnsiTheme="minorEastAsia" w:eastAsiaTheme="minorEastAsia"/>
                <w:bCs/>
                <w:szCs w:val="21"/>
              </w:rPr>
            </w:pPr>
            <w:r>
              <w:rPr>
                <w:rFonts w:hint="eastAsia"/>
                <w:bCs/>
                <w:szCs w:val="21"/>
              </w:rPr>
              <w:t>2</w:t>
            </w:r>
          </w:p>
        </w:tc>
        <w:tc>
          <w:tcPr>
            <w:tcW w:w="2095" w:type="dxa"/>
            <w:vAlign w:val="center"/>
          </w:tcPr>
          <w:p>
            <w:pPr>
              <w:jc w:val="center"/>
              <w:rPr>
                <w:rFonts w:asciiTheme="minorEastAsia" w:hAnsiTheme="minorEastAsia" w:eastAsiaTheme="minorEastAsia"/>
                <w:szCs w:val="21"/>
              </w:rPr>
            </w:pPr>
            <w:r>
              <w:rPr>
                <w:rFonts w:hint="eastAsia"/>
                <w:color w:val="000000"/>
                <w:sz w:val="22"/>
              </w:rPr>
              <w:t>糖化血红蛋白分析用洗脱液ELUENT 90B</w:t>
            </w:r>
          </w:p>
        </w:tc>
        <w:tc>
          <w:tcPr>
            <w:tcW w:w="2947" w:type="dxa"/>
            <w:vAlign w:val="center"/>
          </w:tcPr>
          <w:p>
            <w:pPr>
              <w:jc w:val="left"/>
              <w:rPr>
                <w:rFonts w:asciiTheme="minorEastAsia" w:hAnsiTheme="minorEastAsia" w:eastAsiaTheme="minorEastAsia"/>
                <w:szCs w:val="21"/>
              </w:rPr>
            </w:pPr>
            <w:r>
              <w:rPr>
                <w:rFonts w:hint="eastAsia"/>
                <w:color w:val="000000"/>
                <w:sz w:val="22"/>
              </w:rPr>
              <w:t>600 mL×2 袋/盒</w:t>
            </w:r>
          </w:p>
        </w:tc>
        <w:tc>
          <w:tcPr>
            <w:tcW w:w="732" w:type="dxa"/>
            <w:vAlign w:val="center"/>
          </w:tcPr>
          <w:p>
            <w:pPr>
              <w:jc w:val="center"/>
              <w:rPr>
                <w:rFonts w:asciiTheme="minorEastAsia" w:hAnsiTheme="minorEastAsia" w:eastAsiaTheme="minorEastAsia"/>
                <w:szCs w:val="21"/>
              </w:rPr>
            </w:pPr>
            <w:r>
              <w:rPr>
                <w:rFonts w:hint="eastAsia"/>
                <w:sz w:val="20"/>
                <w:szCs w:val="20"/>
              </w:rPr>
              <w:t>盒</w:t>
            </w:r>
          </w:p>
        </w:tc>
        <w:tc>
          <w:tcPr>
            <w:tcW w:w="1117" w:type="dxa"/>
            <w:vAlign w:val="center"/>
          </w:tcPr>
          <w:p>
            <w:pPr>
              <w:rPr>
                <w:rFonts w:asciiTheme="minorEastAsia" w:hAnsiTheme="minorEastAsia" w:eastAsiaTheme="minorEastAsia"/>
                <w:b/>
                <w:bCs/>
                <w:color w:val="FF0000"/>
                <w:szCs w:val="21"/>
              </w:rPr>
            </w:pPr>
            <w:r>
              <w:rPr>
                <w:rFonts w:hint="eastAsia"/>
                <w:b/>
                <w:bCs/>
                <w:color w:val="FF0000"/>
                <w:szCs w:val="21"/>
              </w:rPr>
              <w:t>接受进口</w:t>
            </w:r>
          </w:p>
        </w:tc>
        <w:tc>
          <w:tcPr>
            <w:tcW w:w="1695" w:type="dxa"/>
            <w:vAlign w:val="center"/>
          </w:tcPr>
          <w:p>
            <w:pPr>
              <w:jc w:val="center"/>
              <w:rPr>
                <w:rFonts w:asciiTheme="minorEastAsia" w:hAnsiTheme="minorEastAsia" w:eastAsiaTheme="minorEastAsia"/>
                <w:b/>
                <w:bCs/>
                <w:color w:val="FF0000"/>
                <w:szCs w:val="21"/>
              </w:rPr>
            </w:pPr>
            <w:r>
              <w:rPr>
                <w:rFonts w:hint="eastAsia"/>
                <w:sz w:val="18"/>
                <w:szCs w:val="18"/>
              </w:rPr>
              <w:t>8730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65" w:type="dxa"/>
            <w:vAlign w:val="center"/>
          </w:tcPr>
          <w:p>
            <w:pPr>
              <w:jc w:val="center"/>
              <w:rPr>
                <w:rFonts w:asciiTheme="minorEastAsia" w:hAnsiTheme="minorEastAsia" w:eastAsiaTheme="minorEastAsia"/>
                <w:bCs/>
                <w:szCs w:val="21"/>
              </w:rPr>
            </w:pPr>
            <w:r>
              <w:rPr>
                <w:rFonts w:hint="eastAsia"/>
                <w:bCs/>
                <w:szCs w:val="21"/>
              </w:rPr>
              <w:t>3</w:t>
            </w:r>
          </w:p>
        </w:tc>
        <w:tc>
          <w:tcPr>
            <w:tcW w:w="2095" w:type="dxa"/>
            <w:vAlign w:val="center"/>
          </w:tcPr>
          <w:p>
            <w:pPr>
              <w:jc w:val="center"/>
              <w:rPr>
                <w:rFonts w:asciiTheme="minorEastAsia" w:hAnsiTheme="minorEastAsia" w:eastAsiaTheme="minorEastAsia"/>
                <w:szCs w:val="21"/>
              </w:rPr>
            </w:pPr>
            <w:r>
              <w:rPr>
                <w:rFonts w:hint="eastAsia"/>
                <w:color w:val="000000"/>
                <w:sz w:val="22"/>
              </w:rPr>
              <w:t>糖化血红蛋白分析用洗脱液ELUENT 90CV-S</w:t>
            </w:r>
          </w:p>
        </w:tc>
        <w:tc>
          <w:tcPr>
            <w:tcW w:w="2947" w:type="dxa"/>
            <w:vAlign w:val="center"/>
          </w:tcPr>
          <w:p>
            <w:pPr>
              <w:jc w:val="left"/>
              <w:rPr>
                <w:rFonts w:asciiTheme="minorEastAsia" w:hAnsiTheme="minorEastAsia" w:eastAsiaTheme="minorEastAsia"/>
                <w:szCs w:val="21"/>
              </w:rPr>
            </w:pPr>
            <w:r>
              <w:rPr>
                <w:rFonts w:hint="eastAsia"/>
                <w:color w:val="000000"/>
                <w:sz w:val="22"/>
              </w:rPr>
              <w:t>200 mL×2 袋/盒</w:t>
            </w:r>
          </w:p>
        </w:tc>
        <w:tc>
          <w:tcPr>
            <w:tcW w:w="732" w:type="dxa"/>
            <w:vAlign w:val="center"/>
          </w:tcPr>
          <w:p>
            <w:pPr>
              <w:jc w:val="center"/>
              <w:rPr>
                <w:rFonts w:asciiTheme="minorEastAsia" w:hAnsiTheme="minorEastAsia" w:eastAsiaTheme="minorEastAsia"/>
                <w:szCs w:val="21"/>
              </w:rPr>
            </w:pPr>
            <w:r>
              <w:rPr>
                <w:rFonts w:hint="eastAsia"/>
                <w:sz w:val="20"/>
                <w:szCs w:val="20"/>
              </w:rPr>
              <w:t>盒</w:t>
            </w:r>
          </w:p>
        </w:tc>
        <w:tc>
          <w:tcPr>
            <w:tcW w:w="1117" w:type="dxa"/>
            <w:vAlign w:val="center"/>
          </w:tcPr>
          <w:p>
            <w:pPr>
              <w:rPr>
                <w:rFonts w:asciiTheme="minorEastAsia" w:hAnsiTheme="minorEastAsia" w:eastAsiaTheme="minorEastAsia"/>
                <w:b/>
                <w:bCs/>
                <w:color w:val="FF0000"/>
                <w:szCs w:val="21"/>
              </w:rPr>
            </w:pPr>
            <w:r>
              <w:rPr>
                <w:rFonts w:hint="eastAsia"/>
                <w:b/>
                <w:bCs/>
                <w:color w:val="FF0000"/>
                <w:szCs w:val="21"/>
              </w:rPr>
              <w:t>接受进口</w:t>
            </w:r>
          </w:p>
        </w:tc>
        <w:tc>
          <w:tcPr>
            <w:tcW w:w="1695" w:type="dxa"/>
            <w:vAlign w:val="center"/>
          </w:tcPr>
          <w:p>
            <w:pPr>
              <w:jc w:val="center"/>
              <w:rPr>
                <w:rFonts w:asciiTheme="minorEastAsia" w:hAnsiTheme="minorEastAsia" w:eastAsiaTheme="minorEastAsia"/>
                <w:b/>
                <w:bCs/>
                <w:color w:val="FF0000"/>
                <w:szCs w:val="21"/>
              </w:rPr>
            </w:pPr>
            <w:r>
              <w:rPr>
                <w:rFonts w:hint="eastAsia"/>
                <w:sz w:val="18"/>
                <w:szCs w:val="18"/>
              </w:rPr>
              <w:t>2425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65" w:type="dxa"/>
            <w:vAlign w:val="center"/>
          </w:tcPr>
          <w:p>
            <w:pPr>
              <w:jc w:val="center"/>
              <w:rPr>
                <w:rFonts w:asciiTheme="minorEastAsia" w:hAnsiTheme="minorEastAsia" w:eastAsiaTheme="minorEastAsia"/>
                <w:bCs/>
                <w:szCs w:val="21"/>
              </w:rPr>
            </w:pPr>
            <w:r>
              <w:rPr>
                <w:rFonts w:hint="eastAsia"/>
                <w:bCs/>
                <w:szCs w:val="21"/>
              </w:rPr>
              <w:t>4</w:t>
            </w:r>
          </w:p>
        </w:tc>
        <w:tc>
          <w:tcPr>
            <w:tcW w:w="2095" w:type="dxa"/>
            <w:vAlign w:val="center"/>
          </w:tcPr>
          <w:p>
            <w:pPr>
              <w:jc w:val="center"/>
              <w:rPr>
                <w:rFonts w:asciiTheme="minorEastAsia" w:hAnsiTheme="minorEastAsia" w:eastAsiaTheme="minorEastAsia"/>
                <w:szCs w:val="21"/>
              </w:rPr>
            </w:pPr>
            <w:r>
              <w:rPr>
                <w:rFonts w:hint="eastAsia"/>
                <w:color w:val="000000"/>
                <w:sz w:val="22"/>
              </w:rPr>
              <w:t>糖化血红蛋白溶血剂</w:t>
            </w:r>
          </w:p>
        </w:tc>
        <w:tc>
          <w:tcPr>
            <w:tcW w:w="2947" w:type="dxa"/>
            <w:vAlign w:val="center"/>
          </w:tcPr>
          <w:p>
            <w:pPr>
              <w:jc w:val="left"/>
              <w:rPr>
                <w:rFonts w:asciiTheme="minorEastAsia" w:hAnsiTheme="minorEastAsia" w:eastAsiaTheme="minorEastAsia"/>
                <w:szCs w:val="21"/>
              </w:rPr>
            </w:pPr>
            <w:r>
              <w:rPr>
                <w:rFonts w:hint="eastAsia"/>
                <w:color w:val="000000"/>
                <w:sz w:val="22"/>
              </w:rPr>
              <w:t>2L*3瓶/盒</w:t>
            </w:r>
          </w:p>
        </w:tc>
        <w:tc>
          <w:tcPr>
            <w:tcW w:w="732" w:type="dxa"/>
            <w:vAlign w:val="center"/>
          </w:tcPr>
          <w:p>
            <w:pPr>
              <w:jc w:val="center"/>
              <w:rPr>
                <w:rFonts w:asciiTheme="minorEastAsia" w:hAnsiTheme="minorEastAsia" w:eastAsiaTheme="minorEastAsia"/>
                <w:szCs w:val="21"/>
              </w:rPr>
            </w:pPr>
            <w:r>
              <w:rPr>
                <w:rFonts w:hint="eastAsia"/>
                <w:sz w:val="20"/>
                <w:szCs w:val="20"/>
              </w:rPr>
              <w:t>盒</w:t>
            </w:r>
          </w:p>
        </w:tc>
        <w:tc>
          <w:tcPr>
            <w:tcW w:w="1117" w:type="dxa"/>
            <w:vAlign w:val="center"/>
          </w:tcPr>
          <w:p>
            <w:pPr>
              <w:rPr>
                <w:rFonts w:asciiTheme="minorEastAsia" w:hAnsiTheme="minorEastAsia" w:eastAsiaTheme="minorEastAsia"/>
                <w:b/>
                <w:bCs/>
                <w:color w:val="FF0000"/>
                <w:szCs w:val="21"/>
              </w:rPr>
            </w:pPr>
            <w:r>
              <w:rPr>
                <w:rFonts w:hint="eastAsia"/>
                <w:b/>
                <w:bCs/>
                <w:color w:val="FF0000"/>
                <w:szCs w:val="21"/>
              </w:rPr>
              <w:t>接受进口</w:t>
            </w:r>
          </w:p>
        </w:tc>
        <w:tc>
          <w:tcPr>
            <w:tcW w:w="1695" w:type="dxa"/>
            <w:vAlign w:val="center"/>
          </w:tcPr>
          <w:p>
            <w:pPr>
              <w:jc w:val="center"/>
              <w:rPr>
                <w:rFonts w:asciiTheme="minorEastAsia" w:hAnsiTheme="minorEastAsia" w:eastAsiaTheme="minorEastAsia"/>
                <w:b/>
                <w:bCs/>
                <w:color w:val="FF0000"/>
                <w:szCs w:val="21"/>
              </w:rPr>
            </w:pPr>
            <w:r>
              <w:rPr>
                <w:rFonts w:hint="eastAsia"/>
                <w:sz w:val="18"/>
                <w:szCs w:val="18"/>
              </w:rPr>
              <w:t>11640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65" w:type="dxa"/>
            <w:vAlign w:val="center"/>
          </w:tcPr>
          <w:p>
            <w:pPr>
              <w:jc w:val="center"/>
              <w:rPr>
                <w:rFonts w:asciiTheme="minorEastAsia" w:hAnsiTheme="minorEastAsia" w:eastAsiaTheme="minorEastAsia"/>
                <w:bCs/>
                <w:szCs w:val="21"/>
              </w:rPr>
            </w:pPr>
            <w:r>
              <w:rPr>
                <w:rFonts w:hint="eastAsia"/>
                <w:bCs/>
                <w:szCs w:val="21"/>
              </w:rPr>
              <w:t>5</w:t>
            </w:r>
          </w:p>
        </w:tc>
        <w:tc>
          <w:tcPr>
            <w:tcW w:w="2095" w:type="dxa"/>
            <w:vAlign w:val="center"/>
          </w:tcPr>
          <w:p>
            <w:pPr>
              <w:jc w:val="center"/>
              <w:rPr>
                <w:rFonts w:asciiTheme="minorEastAsia" w:hAnsiTheme="minorEastAsia" w:eastAsiaTheme="minorEastAsia"/>
                <w:szCs w:val="21"/>
              </w:rPr>
            </w:pPr>
            <w:r>
              <w:rPr>
                <w:rFonts w:hint="eastAsia"/>
                <w:color w:val="000000"/>
                <w:sz w:val="22"/>
              </w:rPr>
              <w:t>糖化血红蛋白层析柱COLUMN UNIT 90</w:t>
            </w:r>
          </w:p>
        </w:tc>
        <w:tc>
          <w:tcPr>
            <w:tcW w:w="2947" w:type="dxa"/>
            <w:vAlign w:val="center"/>
          </w:tcPr>
          <w:p>
            <w:pPr>
              <w:jc w:val="left"/>
              <w:rPr>
                <w:rFonts w:asciiTheme="minorEastAsia" w:hAnsiTheme="minorEastAsia" w:eastAsiaTheme="minorEastAsia"/>
                <w:szCs w:val="21"/>
              </w:rPr>
            </w:pPr>
            <w:r>
              <w:rPr>
                <w:rFonts w:hint="eastAsia"/>
                <w:color w:val="000000"/>
                <w:sz w:val="22"/>
              </w:rPr>
              <w:t>90</w:t>
            </w:r>
          </w:p>
        </w:tc>
        <w:tc>
          <w:tcPr>
            <w:tcW w:w="732" w:type="dxa"/>
            <w:vAlign w:val="center"/>
          </w:tcPr>
          <w:p>
            <w:pPr>
              <w:jc w:val="center"/>
              <w:rPr>
                <w:rFonts w:asciiTheme="minorEastAsia" w:hAnsiTheme="minorEastAsia" w:eastAsiaTheme="minorEastAsia"/>
                <w:szCs w:val="21"/>
              </w:rPr>
            </w:pPr>
            <w:r>
              <w:rPr>
                <w:rFonts w:hint="eastAsia"/>
                <w:sz w:val="20"/>
                <w:szCs w:val="20"/>
              </w:rPr>
              <w:t>盒</w:t>
            </w:r>
          </w:p>
        </w:tc>
        <w:tc>
          <w:tcPr>
            <w:tcW w:w="1117" w:type="dxa"/>
            <w:vAlign w:val="center"/>
          </w:tcPr>
          <w:p>
            <w:pPr>
              <w:rPr>
                <w:rFonts w:asciiTheme="minorEastAsia" w:hAnsiTheme="minorEastAsia" w:eastAsiaTheme="minorEastAsia"/>
                <w:b/>
                <w:bCs/>
                <w:color w:val="FF0000"/>
                <w:szCs w:val="21"/>
              </w:rPr>
            </w:pPr>
            <w:r>
              <w:rPr>
                <w:rFonts w:hint="eastAsia"/>
                <w:b/>
                <w:bCs/>
                <w:color w:val="FF0000"/>
                <w:szCs w:val="21"/>
              </w:rPr>
              <w:t>接受进口</w:t>
            </w:r>
          </w:p>
        </w:tc>
        <w:tc>
          <w:tcPr>
            <w:tcW w:w="1695" w:type="dxa"/>
            <w:vAlign w:val="center"/>
          </w:tcPr>
          <w:p>
            <w:pPr>
              <w:jc w:val="center"/>
              <w:rPr>
                <w:rFonts w:asciiTheme="minorEastAsia" w:hAnsiTheme="minorEastAsia" w:eastAsiaTheme="minorEastAsia"/>
                <w:b/>
                <w:bCs/>
                <w:color w:val="FF0000"/>
                <w:szCs w:val="21"/>
              </w:rPr>
            </w:pPr>
            <w:r>
              <w:rPr>
                <w:rFonts w:hint="eastAsia"/>
                <w:sz w:val="18"/>
                <w:szCs w:val="18"/>
              </w:rPr>
              <w:t>19206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65" w:type="dxa"/>
            <w:vAlign w:val="center"/>
          </w:tcPr>
          <w:p>
            <w:pPr>
              <w:jc w:val="center"/>
              <w:rPr>
                <w:rFonts w:asciiTheme="minorEastAsia" w:hAnsiTheme="minorEastAsia" w:eastAsiaTheme="minorEastAsia"/>
                <w:bCs/>
                <w:szCs w:val="21"/>
              </w:rPr>
            </w:pPr>
            <w:r>
              <w:rPr>
                <w:bCs/>
                <w:szCs w:val="21"/>
              </w:rPr>
              <w:t>6</w:t>
            </w:r>
          </w:p>
        </w:tc>
        <w:tc>
          <w:tcPr>
            <w:tcW w:w="2095" w:type="dxa"/>
            <w:vAlign w:val="center"/>
          </w:tcPr>
          <w:p>
            <w:pPr>
              <w:widowControl/>
              <w:jc w:val="center"/>
              <w:rPr>
                <w:rFonts w:asciiTheme="minorEastAsia" w:hAnsiTheme="minorEastAsia" w:eastAsiaTheme="minorEastAsia"/>
                <w:color w:val="000000"/>
                <w:kern w:val="0"/>
                <w:szCs w:val="21"/>
              </w:rPr>
            </w:pPr>
            <w:r>
              <w:rPr>
                <w:rFonts w:hint="eastAsia"/>
                <w:color w:val="000000"/>
                <w:sz w:val="22"/>
              </w:rPr>
              <w:t>糖化血红蛋白校准品CALIBRATOR 90</w:t>
            </w:r>
          </w:p>
        </w:tc>
        <w:tc>
          <w:tcPr>
            <w:tcW w:w="2947" w:type="dxa"/>
            <w:vAlign w:val="center"/>
          </w:tcPr>
          <w:p>
            <w:pPr>
              <w:jc w:val="left"/>
              <w:rPr>
                <w:rFonts w:asciiTheme="minorEastAsia" w:hAnsiTheme="minorEastAsia" w:eastAsiaTheme="minorEastAsia"/>
                <w:bCs/>
                <w:szCs w:val="21"/>
              </w:rPr>
            </w:pPr>
            <w:r>
              <w:rPr>
                <w:rFonts w:hint="eastAsia"/>
                <w:color w:val="000000"/>
                <w:sz w:val="22"/>
              </w:rPr>
              <w:t>校准品90（低）冻干粉 3 mL 相当量/ 瓶×3瓶、校准品90（高）冻干粉3 mL 相当量/ 瓶×3 瓶、校准品专用溶解液10 mL/瓶×3瓶</w:t>
            </w:r>
          </w:p>
        </w:tc>
        <w:tc>
          <w:tcPr>
            <w:tcW w:w="732" w:type="dxa"/>
            <w:vAlign w:val="center"/>
          </w:tcPr>
          <w:p>
            <w:pPr>
              <w:jc w:val="center"/>
              <w:rPr>
                <w:rFonts w:asciiTheme="minorEastAsia" w:hAnsiTheme="minorEastAsia" w:eastAsiaTheme="minorEastAsia"/>
                <w:bCs/>
                <w:szCs w:val="21"/>
              </w:rPr>
            </w:pPr>
            <w:r>
              <w:rPr>
                <w:rFonts w:hint="eastAsia"/>
                <w:sz w:val="20"/>
                <w:szCs w:val="20"/>
              </w:rPr>
              <w:t>盒</w:t>
            </w:r>
          </w:p>
        </w:tc>
        <w:tc>
          <w:tcPr>
            <w:tcW w:w="1117" w:type="dxa"/>
            <w:vAlign w:val="center"/>
          </w:tcPr>
          <w:p>
            <w:pPr>
              <w:rPr>
                <w:rFonts w:asciiTheme="minorEastAsia" w:hAnsiTheme="minorEastAsia" w:eastAsiaTheme="minorEastAsia"/>
                <w:b/>
                <w:bCs/>
                <w:color w:val="FF0000"/>
                <w:szCs w:val="21"/>
              </w:rPr>
            </w:pPr>
            <w:r>
              <w:rPr>
                <w:rFonts w:hint="eastAsia"/>
                <w:b/>
                <w:bCs/>
                <w:color w:val="FF0000"/>
                <w:szCs w:val="21"/>
              </w:rPr>
              <w:t>接受进口</w:t>
            </w:r>
          </w:p>
        </w:tc>
        <w:tc>
          <w:tcPr>
            <w:tcW w:w="1695" w:type="dxa"/>
            <w:vAlign w:val="center"/>
          </w:tcPr>
          <w:p>
            <w:pPr>
              <w:jc w:val="center"/>
              <w:rPr>
                <w:rFonts w:asciiTheme="minorEastAsia" w:hAnsiTheme="minorEastAsia" w:eastAsiaTheme="minorEastAsia"/>
                <w:bCs/>
                <w:szCs w:val="21"/>
              </w:rPr>
            </w:pPr>
            <w:r>
              <w:rPr>
                <w:rFonts w:hint="eastAsia"/>
                <w:sz w:val="18"/>
                <w:szCs w:val="18"/>
              </w:rPr>
              <w:t>6305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65" w:type="dxa"/>
            <w:vAlign w:val="center"/>
          </w:tcPr>
          <w:p>
            <w:pPr>
              <w:jc w:val="center"/>
              <w:rPr>
                <w:rFonts w:asciiTheme="minorEastAsia" w:hAnsiTheme="minorEastAsia" w:eastAsiaTheme="minorEastAsia"/>
                <w:bCs/>
                <w:szCs w:val="21"/>
              </w:rPr>
            </w:pPr>
            <w:r>
              <w:rPr>
                <w:rFonts w:hint="eastAsia"/>
                <w:bCs/>
                <w:szCs w:val="21"/>
              </w:rPr>
              <w:t>7</w:t>
            </w:r>
          </w:p>
        </w:tc>
        <w:tc>
          <w:tcPr>
            <w:tcW w:w="2095" w:type="dxa"/>
            <w:vAlign w:val="center"/>
          </w:tcPr>
          <w:p>
            <w:pPr>
              <w:widowControl/>
              <w:jc w:val="center"/>
              <w:rPr>
                <w:color w:val="000000"/>
                <w:kern w:val="0"/>
                <w:sz w:val="22"/>
              </w:rPr>
            </w:pPr>
            <w:r>
              <w:rPr>
                <w:rFonts w:hint="eastAsia"/>
                <w:color w:val="000000"/>
                <w:sz w:val="22"/>
              </w:rPr>
              <w:t>糖化血红蛋白质控品Universal Control A1c 2</w:t>
            </w:r>
          </w:p>
          <w:p>
            <w:pPr>
              <w:widowControl/>
              <w:jc w:val="center"/>
              <w:rPr>
                <w:rFonts w:asciiTheme="minorEastAsia" w:hAnsiTheme="minorEastAsia" w:eastAsiaTheme="minorEastAsia"/>
                <w:color w:val="000000"/>
                <w:szCs w:val="21"/>
              </w:rPr>
            </w:pPr>
          </w:p>
        </w:tc>
        <w:tc>
          <w:tcPr>
            <w:tcW w:w="2947" w:type="dxa"/>
            <w:vAlign w:val="center"/>
          </w:tcPr>
          <w:p>
            <w:pPr>
              <w:widowControl/>
              <w:jc w:val="center"/>
              <w:rPr>
                <w:color w:val="000000"/>
                <w:kern w:val="0"/>
                <w:sz w:val="22"/>
              </w:rPr>
            </w:pPr>
            <w:r>
              <w:rPr>
                <w:rFonts w:hint="eastAsia"/>
                <w:color w:val="000000"/>
                <w:sz w:val="22"/>
              </w:rPr>
              <w:t>每盒中：水平 1:3瓶×0.25mL相当量，水平 2:3瓶×0.25mL相当量</w:t>
            </w:r>
          </w:p>
          <w:p>
            <w:pPr>
              <w:jc w:val="left"/>
              <w:rPr>
                <w:rFonts w:asciiTheme="minorEastAsia" w:hAnsiTheme="minorEastAsia" w:eastAsiaTheme="minorEastAsia"/>
                <w:color w:val="000000"/>
                <w:szCs w:val="21"/>
              </w:rPr>
            </w:pPr>
          </w:p>
        </w:tc>
        <w:tc>
          <w:tcPr>
            <w:tcW w:w="732" w:type="dxa"/>
            <w:vAlign w:val="center"/>
          </w:tcPr>
          <w:p>
            <w:pPr>
              <w:jc w:val="center"/>
              <w:rPr>
                <w:rFonts w:asciiTheme="minorEastAsia" w:hAnsiTheme="minorEastAsia" w:eastAsiaTheme="minorEastAsia"/>
                <w:szCs w:val="21"/>
              </w:rPr>
            </w:pPr>
            <w:r>
              <w:rPr>
                <w:rFonts w:hint="eastAsia"/>
                <w:sz w:val="20"/>
                <w:szCs w:val="20"/>
              </w:rPr>
              <w:t>套</w:t>
            </w:r>
          </w:p>
        </w:tc>
        <w:tc>
          <w:tcPr>
            <w:tcW w:w="1117" w:type="dxa"/>
            <w:vAlign w:val="center"/>
          </w:tcPr>
          <w:p>
            <w:pPr>
              <w:rPr>
                <w:rFonts w:asciiTheme="minorEastAsia" w:hAnsiTheme="minorEastAsia" w:eastAsiaTheme="minorEastAsia"/>
                <w:b/>
                <w:bCs/>
                <w:color w:val="FF0000"/>
                <w:szCs w:val="21"/>
              </w:rPr>
            </w:pPr>
            <w:r>
              <w:rPr>
                <w:rFonts w:hint="eastAsia"/>
                <w:b/>
                <w:bCs/>
                <w:color w:val="FF0000"/>
                <w:szCs w:val="21"/>
              </w:rPr>
              <w:t>接受进口</w:t>
            </w:r>
          </w:p>
        </w:tc>
        <w:tc>
          <w:tcPr>
            <w:tcW w:w="1695" w:type="dxa"/>
            <w:vAlign w:val="center"/>
          </w:tcPr>
          <w:p>
            <w:pPr>
              <w:jc w:val="center"/>
              <w:rPr>
                <w:rFonts w:asciiTheme="minorEastAsia" w:hAnsiTheme="minorEastAsia" w:eastAsiaTheme="minorEastAsia"/>
                <w:szCs w:val="21"/>
              </w:rPr>
            </w:pPr>
            <w:r>
              <w:rPr>
                <w:rFonts w:hint="eastAsia"/>
                <w:sz w:val="18"/>
                <w:szCs w:val="18"/>
              </w:rPr>
              <w:t>3492</w:t>
            </w:r>
          </w:p>
        </w:tc>
      </w:tr>
    </w:tbl>
    <w:p>
      <w:pPr>
        <w:ind w:firstLine="422" w:firstLineChars="200"/>
        <w:rPr>
          <w:rFonts w:ascii="宋体" w:hAnsi="宋体"/>
          <w:b/>
          <w:szCs w:val="21"/>
        </w:rPr>
      </w:pPr>
    </w:p>
    <w:p>
      <w:pPr>
        <w:spacing w:line="276" w:lineRule="auto"/>
        <w:rPr>
          <w:rFonts w:ascii="宋体" w:hAnsi="宋体" w:cs="宋体"/>
          <w:b/>
          <w:bCs/>
          <w:color w:val="FF0000"/>
          <w:sz w:val="18"/>
          <w:szCs w:val="18"/>
        </w:rPr>
      </w:pPr>
      <w:r>
        <w:rPr>
          <w:rFonts w:hint="eastAsia" w:ascii="宋体" w:hAnsi="宋体" w:cs="宋体"/>
          <w:b/>
          <w:bCs/>
          <w:color w:val="FF0000"/>
          <w:sz w:val="18"/>
          <w:szCs w:val="18"/>
        </w:rPr>
        <w:t>★投标供应商必须保证所投产品报价为深圳地区最低成交价，最终投标价格以现场最终报价为准。</w:t>
      </w:r>
    </w:p>
    <w:p>
      <w:pPr>
        <w:ind w:firstLine="413" w:firstLineChars="196"/>
        <w:rPr>
          <w:rFonts w:ascii="宋体" w:hAnsi="宋体"/>
          <w:b/>
          <w:szCs w:val="21"/>
        </w:rPr>
      </w:pPr>
    </w:p>
    <w:p>
      <w:pPr>
        <w:ind w:firstLine="413" w:firstLineChars="196"/>
        <w:rPr>
          <w:b/>
        </w:rPr>
      </w:pPr>
      <w:r>
        <w:rPr>
          <w:rFonts w:hint="eastAsia" w:ascii="宋体" w:hAnsi="宋体"/>
          <w:b/>
          <w:szCs w:val="21"/>
        </w:rPr>
        <w:t>三、服务期限</w:t>
      </w:r>
    </w:p>
    <w:p>
      <w:pPr>
        <w:pStyle w:val="34"/>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、服务期限1年，自合同签订之日起的365个日历日。</w:t>
      </w:r>
    </w:p>
    <w:p>
      <w:pPr>
        <w:pStyle w:val="34"/>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、服务期限内若投标人经销授权书超过有效期，则采购人有权终止合同。</w:t>
      </w:r>
    </w:p>
    <w:p>
      <w:pPr>
        <w:ind w:firstLine="411" w:firstLineChars="196"/>
        <w:rPr>
          <w:rFonts w:ascii="宋体" w:hAnsi="宋体"/>
          <w:b/>
          <w:color w:val="000000" w:themeColor="text1"/>
          <w:szCs w:val="2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、合同期满后，采购人可以根据项目需要和中标供应商的履约情况确定合同是否续签，续签按相关规定执行。</w:t>
      </w:r>
    </w:p>
    <w:p>
      <w:pPr>
        <w:ind w:firstLine="413" w:firstLineChars="196"/>
        <w:rPr>
          <w:rFonts w:ascii="宋体" w:hAnsi="宋体"/>
          <w:b/>
          <w:szCs w:val="21"/>
        </w:rPr>
      </w:pPr>
    </w:p>
    <w:p>
      <w:pPr>
        <w:ind w:firstLine="413" w:firstLineChars="196"/>
        <w:rPr>
          <w:b/>
        </w:rPr>
      </w:pPr>
      <w:r>
        <w:rPr>
          <w:rFonts w:hint="eastAsia" w:ascii="宋体" w:hAnsi="宋体"/>
          <w:b/>
          <w:szCs w:val="21"/>
        </w:rPr>
        <w:t>四、</w:t>
      </w:r>
      <w:r>
        <w:rPr>
          <w:rFonts w:hint="eastAsia"/>
          <w:b/>
        </w:rPr>
        <w:t>院内加工服务</w:t>
      </w:r>
    </w:p>
    <w:p>
      <w:pPr>
        <w:ind w:firstLine="420" w:firstLineChars="200"/>
      </w:pPr>
      <w:r>
        <w:rPr>
          <w:rFonts w:hint="eastAsia"/>
        </w:rPr>
        <w:t>投标公司需提前和我院中标的服务商联系，医用耗材的院内加工服务必须由其负责，服务商的服务费用建议</w:t>
      </w:r>
      <w:r>
        <w:t>2</w:t>
      </w:r>
      <w:r>
        <w:rPr>
          <w:rFonts w:hint="eastAsia"/>
        </w:rPr>
        <w:t>个点。</w:t>
      </w:r>
    </w:p>
    <w:p>
      <w:pPr>
        <w:ind w:firstLine="420" w:firstLineChars="200"/>
      </w:pPr>
      <w:r>
        <w:rPr>
          <w:rFonts w:hint="eastAsia"/>
        </w:rPr>
        <w:t>1、服务方式：中标供应商应根据医院要求，由深圳大学总医院医用耗材服务商负责加工管理。</w:t>
      </w:r>
    </w:p>
    <w:p>
      <w:pPr>
        <w:ind w:firstLine="420" w:firstLineChars="200"/>
      </w:pPr>
      <w:r>
        <w:rPr>
          <w:rFonts w:hint="eastAsia"/>
        </w:rPr>
        <w:t>2、医院与耗材供应商签订协议后，在协议有效期限内，若深圳市医疗机构医用耗材采购平台启动、交易办法实施，深圳大学总医院有权终止全部或部分合同。</w:t>
      </w:r>
    </w:p>
    <w:p>
      <w:pPr>
        <w:ind w:firstLine="420" w:firstLineChars="200"/>
      </w:pPr>
      <w:r>
        <w:rPr>
          <w:rFonts w:hint="eastAsia"/>
        </w:rPr>
        <w:t>以下是我院中标的服务商联系方式：</w:t>
      </w:r>
    </w:p>
    <w:p>
      <w:pPr>
        <w:spacing w:line="360" w:lineRule="exact"/>
        <w:ind w:firstLine="420" w:firstLineChars="200"/>
      </w:pPr>
      <w:r>
        <w:rPr>
          <w:rFonts w:hint="eastAsia"/>
        </w:rPr>
        <w:t xml:space="preserve">服务商：国药集团中科器深圳有限公司 </w:t>
      </w:r>
      <w:r>
        <w:t xml:space="preserve"> </w:t>
      </w:r>
      <w:r>
        <w:rPr>
          <w:rFonts w:hint="eastAsia"/>
        </w:rPr>
        <w:t>联系方式：</w:t>
      </w:r>
      <w:r>
        <w:t>18682164123</w:t>
      </w:r>
    </w:p>
    <w:p>
      <w:pPr>
        <w:ind w:firstLine="413" w:firstLineChars="196"/>
        <w:rPr>
          <w:rFonts w:ascii="宋体" w:hAnsi="宋体"/>
          <w:b/>
          <w:szCs w:val="21"/>
        </w:rPr>
      </w:pPr>
    </w:p>
    <w:p>
      <w:pPr>
        <w:ind w:firstLine="413" w:firstLineChars="196"/>
        <w:rPr>
          <w:rFonts w:ascii="宋体" w:hAnsi="宋体"/>
          <w:b/>
          <w:szCs w:val="21"/>
        </w:rPr>
      </w:pPr>
      <w:r>
        <w:rPr>
          <w:rFonts w:hint="eastAsia" w:ascii="宋体" w:hAnsi="宋体"/>
          <w:b/>
          <w:szCs w:val="21"/>
        </w:rPr>
        <w:t>五、付款方式</w:t>
      </w:r>
    </w:p>
    <w:p>
      <w:pPr>
        <w:widowControl/>
        <w:ind w:firstLine="420" w:firstLineChars="200"/>
        <w:jc w:val="left"/>
      </w:pPr>
      <w:r>
        <w:rPr>
          <w:rFonts w:hint="eastAsia"/>
        </w:rPr>
        <w:t>由医院与中标公司进行结算。中标价格包含但不限于缴税、运费、调试、保险、检测、培训、商检及计量检测、关税、增值税和进口代理等全部费用，以及其他一切不可预见的费用等，结算时不做任何单价或费用的调整。中标公司将医用耗材配送至深圳大学总医院，货款由至深圳大学总医院按照中标价格支付给中标公司。医用耗材实行用后结算，在中标公司提供医用耗材合法有效发票给医院，并经医院确认后，甲方于60个日历日内向中标公司支付医用耗材款，逢节假日顺延。</w:t>
      </w:r>
    </w:p>
    <w:p>
      <w:pPr>
        <w:ind w:firstLine="211" w:firstLineChars="100"/>
        <w:rPr>
          <w:b/>
        </w:rPr>
      </w:pPr>
    </w:p>
    <w:p>
      <w:pPr>
        <w:ind w:firstLine="413" w:firstLineChars="196"/>
        <w:rPr>
          <w:rFonts w:ascii="宋体" w:hAnsi="宋体"/>
          <w:b/>
          <w:szCs w:val="21"/>
        </w:rPr>
      </w:pPr>
      <w:r>
        <w:rPr>
          <w:rFonts w:hint="eastAsia" w:ascii="宋体" w:hAnsi="宋体"/>
          <w:b/>
          <w:szCs w:val="21"/>
        </w:rPr>
        <w:t>六、中标人的责任</w:t>
      </w:r>
    </w:p>
    <w:p>
      <w:pPr>
        <w:ind w:firstLine="420" w:firstLineChars="200"/>
      </w:pPr>
      <w:r>
        <w:rPr>
          <w:rFonts w:hint="eastAsia"/>
        </w:rPr>
        <w:t>1、应按照公布的中标医用耗材目录上注明的产品信息和质量及时供货，所提供的医用耗材必须是合格的医用耗材。</w:t>
      </w:r>
    </w:p>
    <w:p>
      <w:pPr>
        <w:ind w:firstLine="420" w:firstLineChars="200"/>
      </w:pPr>
      <w:r>
        <w:rPr>
          <w:rFonts w:hint="eastAsia"/>
        </w:rPr>
        <w:t>2、保证供货产品的实际品牌、规格型号、生产厂家、质量与遴选投标文件内所投产品描述一致；供货产品确保最新生产批号，绝不提供过期或即将过期的产品。</w:t>
      </w:r>
    </w:p>
    <w:p>
      <w:pPr>
        <w:ind w:firstLine="420" w:firstLineChars="200"/>
      </w:pPr>
      <w:r>
        <w:rPr>
          <w:rFonts w:hint="eastAsia"/>
        </w:rPr>
        <w:t>3、医疗器械生产许可证、医疗器械经营许可证、医疗器械注册证、消毒产品生产企业卫生许可证、消毒剂和消毒器械卫生许可批件、营业执照（正副本）、医用耗材检验报告书等到期前，应将变更后的最新有效证明文件报送到医工部。超过有效期未报送的，停止中标医用耗材的供货资格。</w:t>
      </w:r>
    </w:p>
    <w:p>
      <w:pPr>
        <w:ind w:firstLine="420" w:firstLineChars="200"/>
      </w:pPr>
      <w:r>
        <w:rPr>
          <w:rFonts w:hint="eastAsia"/>
        </w:rPr>
        <w:t>4、企业名称、医用耗材价格等信息变更后，需在7个工作日内到配送商和我院医工部办理备案手续。逾期未办理备案的，停止中标医用耗材的供货资格。</w:t>
      </w:r>
    </w:p>
    <w:p>
      <w:pPr>
        <w:ind w:firstLine="420" w:firstLineChars="200"/>
      </w:pPr>
      <w:r>
        <w:rPr>
          <w:rFonts w:hint="eastAsia"/>
        </w:rPr>
        <w:t>5、若中标产品有断货或停货等特殊情况时，需提前告知配送商，并出示加盖公章的停货书面说明。如多次出现供货不及时的情况，医院有权终止合同。</w:t>
      </w:r>
    </w:p>
    <w:p>
      <w:pPr>
        <w:ind w:firstLine="420" w:firstLineChars="200"/>
      </w:pPr>
      <w:r>
        <w:rPr>
          <w:rFonts w:hint="eastAsia"/>
        </w:rPr>
        <w:t>6、在实际使用过程中如因产品原因出现异常情况，保证及时请厂家或专家到医院协助解决异常情况，一切费用由中标单位负责。</w:t>
      </w:r>
    </w:p>
    <w:p>
      <w:pPr>
        <w:ind w:firstLine="420" w:firstLineChars="200"/>
      </w:pPr>
      <w:r>
        <w:rPr>
          <w:rFonts w:hint="eastAsia"/>
        </w:rPr>
        <w:t>7、对于一些需要指导的新产品，保证做好相关培训工作，培训产生的费用由中标单位负责。</w:t>
      </w:r>
    </w:p>
    <w:p>
      <w:pPr>
        <w:ind w:firstLine="420" w:firstLineChars="200"/>
      </w:pPr>
      <w:r>
        <w:rPr>
          <w:rFonts w:hint="eastAsia"/>
        </w:rPr>
        <w:t>8、新开展的项目或同一测定项目检测方法改变升级，保证无条件提供货源。</w:t>
      </w:r>
    </w:p>
    <w:p>
      <w:pPr>
        <w:ind w:firstLine="420" w:firstLineChars="200"/>
      </w:pPr>
      <w:r>
        <w:rPr>
          <w:rFonts w:hint="eastAsia"/>
        </w:rPr>
        <w:t xml:space="preserve">9、对于已确认中标的品种，中标人在采购周期内一律不得弃标，弃标的列入不良行为记录，并进行相应处理。 </w:t>
      </w:r>
      <w:r>
        <w:rPr>
          <w:rFonts w:hint="eastAsia"/>
        </w:rPr>
        <w:cr/>
      </w:r>
      <w:r>
        <w:t xml:space="preserve">    </w:t>
      </w:r>
      <w:r>
        <w:rPr>
          <w:rFonts w:hint="eastAsia"/>
        </w:rPr>
        <w:t>10、对于接近有效期的产品（近效期6个月或以内的），中标人保证无条件更换新批号且效期在半年以上的产品。</w:t>
      </w:r>
    </w:p>
    <w:p>
      <w:pPr>
        <w:ind w:firstLine="420" w:firstLineChars="200"/>
      </w:pPr>
    </w:p>
    <w:p>
      <w:pPr>
        <w:ind w:firstLine="422" w:firstLineChars="200"/>
        <w:rPr>
          <w:b/>
        </w:rPr>
      </w:pPr>
      <w:r>
        <w:rPr>
          <w:rFonts w:hint="eastAsia"/>
          <w:b/>
        </w:rPr>
        <w:t>七、关于交货</w:t>
      </w:r>
    </w:p>
    <w:p>
      <w:pPr>
        <w:ind w:firstLine="420" w:firstLineChars="200"/>
      </w:pPr>
      <w:r>
        <w:rPr>
          <w:rFonts w:hint="eastAsia" w:cs="宋体"/>
        </w:rPr>
        <w:t>按医院通知的供货数量和时间，中标公司现货送到医院指定地址，并跟踪货物用后结算流程。</w:t>
      </w:r>
    </w:p>
    <w:p>
      <w:pPr>
        <w:widowControl/>
        <w:ind w:firstLine="961" w:firstLineChars="200"/>
        <w:jc w:val="left"/>
        <w:rPr>
          <w:rFonts w:ascii="华文新魏" w:hAnsi="MS Sans Serif" w:eastAsia="华文新魏"/>
          <w:b/>
          <w:bCs/>
          <w:kern w:val="0"/>
          <w:sz w:val="48"/>
          <w:szCs w:val="46"/>
        </w:rPr>
      </w:pPr>
      <w:r>
        <w:rPr>
          <w:rFonts w:ascii="华文新魏" w:hAnsi="MS Sans Serif" w:eastAsia="华文新魏"/>
          <w:b/>
          <w:bCs/>
          <w:kern w:val="0"/>
          <w:sz w:val="48"/>
          <w:szCs w:val="46"/>
        </w:rPr>
        <w:br w:type="page"/>
      </w:r>
    </w:p>
    <w:p>
      <w:pPr>
        <w:autoSpaceDE w:val="0"/>
        <w:autoSpaceDN w:val="0"/>
        <w:adjustRightInd w:val="0"/>
        <w:jc w:val="center"/>
        <w:rPr>
          <w:rFonts w:ascii="华文新魏" w:hAnsi="MS Sans Serif" w:eastAsia="华文新魏"/>
          <w:b/>
          <w:bCs/>
          <w:kern w:val="0"/>
          <w:sz w:val="48"/>
          <w:szCs w:val="46"/>
        </w:rPr>
      </w:pPr>
      <w:r>
        <w:rPr>
          <w:rFonts w:hint="eastAsia" w:ascii="华文新魏" w:hAnsi="MS Sans Serif" w:eastAsia="华文新魏"/>
          <w:b/>
          <w:bCs/>
          <w:kern w:val="0"/>
          <w:sz w:val="48"/>
          <w:szCs w:val="46"/>
        </w:rPr>
        <w:t>谈判文件目录</w:t>
      </w:r>
    </w:p>
    <w:p>
      <w:pPr>
        <w:rPr>
          <w:b/>
          <w:color w:val="000000"/>
          <w:sz w:val="24"/>
          <w:lang w:val="en-GB"/>
        </w:rPr>
      </w:pPr>
    </w:p>
    <w:p>
      <w:pPr>
        <w:spacing w:line="360" w:lineRule="auto"/>
        <w:ind w:firstLine="280"/>
        <w:rPr>
          <w:b/>
          <w:color w:val="000000"/>
          <w:sz w:val="30"/>
          <w:u w:val="single"/>
        </w:rPr>
      </w:pPr>
    </w:p>
    <w:p>
      <w:pPr>
        <w:spacing w:line="360" w:lineRule="auto"/>
        <w:rPr>
          <w:rFonts w:ascii="方正姚体" w:eastAsia="方正姚体"/>
          <w:b/>
          <w:color w:val="000000"/>
          <w:sz w:val="32"/>
        </w:rPr>
      </w:pPr>
      <w:r>
        <w:rPr>
          <w:rFonts w:hint="eastAsia" w:ascii="方正姚体" w:eastAsia="方正姚体"/>
          <w:b/>
          <w:color w:val="000000"/>
          <w:sz w:val="32"/>
        </w:rPr>
        <w:t>一、谈判函（唱标信封）</w:t>
      </w:r>
    </w:p>
    <w:p>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谈判人须将谈判一览表单独封存一份，以备唱标。</w:t>
      </w:r>
    </w:p>
    <w:p>
      <w:pPr>
        <w:spacing w:line="360" w:lineRule="auto"/>
        <w:rPr>
          <w:b/>
          <w:color w:val="000000"/>
          <w:sz w:val="30"/>
          <w:u w:val="single"/>
        </w:rPr>
      </w:pPr>
    </w:p>
    <w:p>
      <w:pPr>
        <w:spacing w:line="360" w:lineRule="auto"/>
        <w:rPr>
          <w:rFonts w:ascii="方正姚体" w:eastAsia="方正姚体"/>
          <w:b/>
          <w:color w:val="000000"/>
          <w:sz w:val="32"/>
        </w:rPr>
      </w:pPr>
      <w:r>
        <w:rPr>
          <w:rFonts w:hint="eastAsia" w:ascii="方正姚体" w:eastAsia="方正姚体"/>
          <w:b/>
          <w:color w:val="000000"/>
          <w:sz w:val="32"/>
        </w:rPr>
        <w:t>二、谈判书</w:t>
      </w:r>
    </w:p>
    <w:p>
      <w:pPr>
        <w:spacing w:line="360" w:lineRule="auto"/>
        <w:ind w:firstLine="280"/>
        <w:rPr>
          <w:b/>
          <w:color w:val="000000"/>
          <w:sz w:val="30"/>
          <w:u w:val="single"/>
        </w:rPr>
      </w:pPr>
      <w:r>
        <w:fldChar w:fldCharType="begin"/>
      </w:r>
      <w:r>
        <w:instrText xml:space="preserve"> HYPERLINK \l "_第一部分__资格性文件" </w:instrText>
      </w:r>
      <w:r>
        <w:fldChar w:fldCharType="separate"/>
      </w:r>
      <w:r>
        <w:rPr>
          <w:rFonts w:hint="eastAsia"/>
          <w:b/>
          <w:color w:val="000000"/>
          <w:sz w:val="30"/>
          <w:u w:val="single"/>
        </w:rPr>
        <w:t>第一部分</w:t>
      </w:r>
      <w:r>
        <w:rPr>
          <w:rFonts w:hint="eastAsia"/>
          <w:b/>
          <w:color w:val="000000"/>
          <w:sz w:val="30"/>
          <w:u w:val="single"/>
        </w:rPr>
        <w:fldChar w:fldCharType="end"/>
      </w:r>
      <w:r>
        <w:rPr>
          <w:rFonts w:hint="eastAsia"/>
          <w:b/>
          <w:color w:val="000000"/>
          <w:sz w:val="30"/>
          <w:u w:val="single"/>
        </w:rPr>
        <w:t>谈判报价表</w:t>
      </w:r>
    </w:p>
    <w:p>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1.1谈判一览表</w:t>
      </w:r>
    </w:p>
    <w:p>
      <w:pPr>
        <w:tabs>
          <w:tab w:val="left" w:pos="540"/>
          <w:tab w:val="left" w:pos="1260"/>
        </w:tabs>
        <w:spacing w:line="360" w:lineRule="auto"/>
        <w:rPr>
          <w:bCs/>
          <w:color w:val="000000"/>
          <w:sz w:val="28"/>
        </w:rPr>
      </w:pPr>
      <w:r>
        <w:rPr>
          <w:rFonts w:hint="eastAsia"/>
          <w:bCs/>
          <w:color w:val="000000"/>
          <w:sz w:val="28"/>
        </w:rPr>
        <w:t xml:space="preserve">    1.2分项</w:t>
      </w:r>
      <w:r>
        <w:rPr>
          <w:bCs/>
          <w:color w:val="000000"/>
          <w:sz w:val="28"/>
        </w:rPr>
        <w:t>报价表</w:t>
      </w:r>
    </w:p>
    <w:p>
      <w:pPr>
        <w:spacing w:line="360" w:lineRule="auto"/>
        <w:ind w:firstLine="280"/>
        <w:rPr>
          <w:b/>
          <w:color w:val="000000"/>
          <w:sz w:val="30"/>
        </w:rPr>
      </w:pPr>
      <w:r>
        <w:fldChar w:fldCharType="begin"/>
      </w:r>
      <w:r>
        <w:instrText xml:space="preserve"> HYPERLINK \l "_第一部分__资格性文件" </w:instrText>
      </w:r>
      <w:r>
        <w:fldChar w:fldCharType="separate"/>
      </w:r>
      <w:r>
        <w:rPr>
          <w:rFonts w:hint="eastAsia"/>
          <w:b/>
          <w:color w:val="000000"/>
          <w:sz w:val="30"/>
          <w:u w:val="single"/>
        </w:rPr>
        <w:t>第二部分资格性文件</w:t>
      </w:r>
      <w:r>
        <w:rPr>
          <w:rFonts w:hint="eastAsia"/>
          <w:b/>
          <w:color w:val="000000"/>
          <w:sz w:val="30"/>
          <w:u w:val="single"/>
        </w:rPr>
        <w:fldChar w:fldCharType="end"/>
      </w:r>
    </w:p>
    <w:p>
      <w:pPr>
        <w:tabs>
          <w:tab w:val="left" w:pos="540"/>
        </w:tabs>
        <w:spacing w:line="360" w:lineRule="auto"/>
        <w:ind w:firstLine="560" w:firstLineChars="200"/>
        <w:rPr>
          <w:bCs/>
          <w:color w:val="000000"/>
          <w:sz w:val="28"/>
        </w:rPr>
      </w:pPr>
      <w:r>
        <w:rPr>
          <w:rFonts w:hint="eastAsia"/>
          <w:bCs/>
          <w:color w:val="000000"/>
          <w:sz w:val="28"/>
        </w:rPr>
        <w:t>2.1法定代表人授权书</w:t>
      </w:r>
    </w:p>
    <w:p>
      <w:pPr>
        <w:tabs>
          <w:tab w:val="left" w:pos="540"/>
        </w:tabs>
        <w:spacing w:line="360" w:lineRule="auto"/>
        <w:ind w:firstLine="560" w:firstLineChars="200"/>
        <w:rPr>
          <w:bCs/>
          <w:color w:val="000000"/>
          <w:sz w:val="28"/>
        </w:rPr>
      </w:pPr>
      <w:r>
        <w:rPr>
          <w:rFonts w:hint="eastAsia"/>
          <w:bCs/>
          <w:color w:val="000000"/>
          <w:sz w:val="28"/>
        </w:rPr>
        <w:t>2.2</w:t>
      </w:r>
      <w:r>
        <w:fldChar w:fldCharType="begin"/>
      </w:r>
      <w:r>
        <w:instrText xml:space="preserve"> HYPERLINK \l "_投标承诺函" </w:instrText>
      </w:r>
      <w:r>
        <w:fldChar w:fldCharType="separate"/>
      </w:r>
      <w:r>
        <w:rPr>
          <w:rFonts w:hint="eastAsia"/>
          <w:sz w:val="28"/>
        </w:rPr>
        <w:t>谈判承诺函</w:t>
      </w:r>
      <w:r>
        <w:rPr>
          <w:rFonts w:hint="eastAsia"/>
          <w:sz w:val="28"/>
        </w:rPr>
        <w:fldChar w:fldCharType="end"/>
      </w:r>
    </w:p>
    <w:p>
      <w:pPr>
        <w:tabs>
          <w:tab w:val="left" w:pos="540"/>
        </w:tabs>
        <w:spacing w:line="360" w:lineRule="auto"/>
        <w:ind w:firstLine="560" w:firstLineChars="200"/>
        <w:rPr>
          <w:rFonts w:ascii="仿宋_GB2312" w:hAnsi="宋体" w:eastAsia="仿宋_GB2312"/>
          <w:sz w:val="28"/>
          <w:szCs w:val="28"/>
        </w:rPr>
      </w:pPr>
      <w:r>
        <w:rPr>
          <w:rFonts w:hint="eastAsia"/>
          <w:bCs/>
          <w:color w:val="000000"/>
          <w:sz w:val="28"/>
        </w:rPr>
        <w:t>2.3</w:t>
      </w:r>
      <w:r>
        <w:rPr>
          <w:rFonts w:hint="eastAsia"/>
          <w:sz w:val="28"/>
        </w:rPr>
        <w:t>资质证书复印件</w:t>
      </w:r>
    </w:p>
    <w:p>
      <w:pPr>
        <w:spacing w:line="360" w:lineRule="auto"/>
        <w:ind w:firstLine="280"/>
        <w:rPr>
          <w:b/>
          <w:color w:val="000000"/>
          <w:sz w:val="30"/>
          <w:u w:val="single"/>
        </w:rPr>
      </w:pPr>
      <w:r>
        <w:rPr>
          <w:rFonts w:hint="eastAsia"/>
          <w:b/>
          <w:color w:val="000000"/>
          <w:sz w:val="30"/>
          <w:u w:val="single"/>
        </w:rPr>
        <w:t>第三部分其他材料</w:t>
      </w:r>
    </w:p>
    <w:p>
      <w:pPr>
        <w:tabs>
          <w:tab w:val="left" w:pos="720"/>
        </w:tabs>
        <w:rPr>
          <w:bCs/>
          <w:color w:val="FF0000"/>
        </w:rPr>
      </w:pPr>
    </w:p>
    <w:p>
      <w:pPr>
        <w:tabs>
          <w:tab w:val="left" w:pos="720"/>
        </w:tabs>
        <w:rPr>
          <w:bCs/>
          <w:color w:val="FF0000"/>
          <w:lang w:val="en-GB"/>
        </w:rPr>
      </w:pPr>
    </w:p>
    <w:p>
      <w:pPr>
        <w:tabs>
          <w:tab w:val="left" w:pos="720"/>
        </w:tabs>
        <w:rPr>
          <w:bCs/>
          <w:color w:val="FF0000"/>
          <w:lang w:val="en-GB"/>
        </w:rPr>
      </w:pPr>
    </w:p>
    <w:p>
      <w:pPr>
        <w:tabs>
          <w:tab w:val="left" w:pos="720"/>
        </w:tabs>
        <w:ind w:left="720"/>
        <w:rPr>
          <w:bCs/>
          <w:color w:val="FF0000"/>
          <w:lang w:val="en-GB"/>
        </w:rPr>
      </w:pPr>
    </w:p>
    <w:p>
      <w:pPr>
        <w:tabs>
          <w:tab w:val="left" w:pos="720"/>
        </w:tabs>
        <w:ind w:left="720"/>
        <w:rPr>
          <w:b/>
          <w:sz w:val="36"/>
        </w:rPr>
      </w:pPr>
      <w:r>
        <w:rPr>
          <w:rFonts w:hint="eastAsia"/>
          <w:bCs/>
          <w:color w:val="FF0000"/>
          <w:lang w:val="en-GB"/>
        </w:rPr>
        <w:t>注：谈判文件封面自行设计，但内容须严格按照以上清单顺序进行装订，每页须编注页码。</w:t>
      </w:r>
    </w:p>
    <w:p>
      <w:pPr>
        <w:autoSpaceDE w:val="0"/>
        <w:autoSpaceDN w:val="0"/>
        <w:adjustRightInd w:val="0"/>
        <w:jc w:val="center"/>
        <w:rPr>
          <w:rFonts w:ascii="华文新魏" w:hAnsi="MS Sans Serif" w:eastAsia="华文新魏"/>
          <w:b/>
          <w:bCs/>
          <w:kern w:val="0"/>
          <w:sz w:val="48"/>
          <w:szCs w:val="46"/>
        </w:rPr>
      </w:pPr>
      <w:r>
        <w:rPr>
          <w:b/>
          <w:sz w:val="36"/>
        </w:rPr>
        <w:br w:type="page"/>
      </w:r>
      <w:r>
        <w:rPr>
          <w:rFonts w:hint="eastAsia" w:ascii="华文新魏" w:hAnsi="MS Sans Serif" w:eastAsia="华文新魏"/>
          <w:b/>
          <w:bCs/>
          <w:kern w:val="0"/>
          <w:sz w:val="48"/>
          <w:szCs w:val="46"/>
        </w:rPr>
        <w:t>谈判一览表</w:t>
      </w:r>
    </w:p>
    <w:p>
      <w:pPr>
        <w:spacing w:line="360" w:lineRule="auto"/>
        <w:rPr>
          <w:sz w:val="28"/>
          <w:u w:val="single"/>
        </w:rPr>
      </w:pPr>
      <w:r>
        <w:rPr>
          <w:rFonts w:hint="eastAsia"/>
          <w:sz w:val="28"/>
        </w:rPr>
        <w:t>谈判人名称：</w:t>
      </w:r>
    </w:p>
    <w:p>
      <w:pPr>
        <w:spacing w:line="360" w:lineRule="auto"/>
        <w:rPr>
          <w:sz w:val="28"/>
        </w:rPr>
      </w:pPr>
      <w:r>
        <w:rPr>
          <w:rFonts w:hint="eastAsia"/>
          <w:sz w:val="28"/>
        </w:rPr>
        <w:t>采购编号：</w:t>
      </w:r>
    </w:p>
    <w:p>
      <w:pPr>
        <w:spacing w:line="360" w:lineRule="auto"/>
        <w:rPr>
          <w:sz w:val="24"/>
        </w:rPr>
      </w:pPr>
    </w:p>
    <w:tbl>
      <w:tblPr>
        <w:tblStyle w:val="16"/>
        <w:tblW w:w="85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0"/>
        <w:gridCol w:w="2567"/>
        <w:gridCol w:w="1468"/>
        <w:gridCol w:w="1851"/>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040"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投标价格</w:t>
            </w:r>
          </w:p>
        </w:tc>
        <w:tc>
          <w:tcPr>
            <w:tcW w:w="1620"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040"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ascii="宋体" w:hAnsi="宋体" w:cs="宋体"/>
                <w:color w:val="000000"/>
                <w:kern w:val="0"/>
                <w:sz w:val="22"/>
                <w:lang w:bidi="ar"/>
              </w:rPr>
              <w:t>爱科来糖化血红蛋白分析仪HA-8190V的配套试剂</w:t>
            </w:r>
          </w:p>
        </w:tc>
        <w:tc>
          <w:tcPr>
            <w:tcW w:w="1468"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pPr>
        <w:widowControl/>
        <w:jc w:val="left"/>
        <w:rPr>
          <w:b/>
          <w:bCs/>
          <w:sz w:val="28"/>
        </w:rPr>
      </w:pPr>
      <w:r>
        <w:rPr>
          <w:b/>
          <w:bCs/>
          <w:sz w:val="28"/>
        </w:rPr>
        <w:br w:type="page"/>
      </w: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hint="eastAsia" w:ascii="华文新魏" w:hAnsi="MS Sans Serif" w:eastAsia="华文新魏"/>
          <w:b/>
          <w:bCs/>
          <w:kern w:val="0"/>
          <w:sz w:val="48"/>
          <w:szCs w:val="46"/>
        </w:rPr>
        <w:t>分项</w:t>
      </w:r>
      <w:r>
        <w:rPr>
          <w:rFonts w:ascii="华文新魏" w:hAnsi="MS Sans Serif" w:eastAsia="华文新魏"/>
          <w:b/>
          <w:bCs/>
          <w:kern w:val="0"/>
          <w:sz w:val="48"/>
          <w:szCs w:val="46"/>
        </w:rPr>
        <w:t>报价表</w:t>
      </w:r>
    </w:p>
    <w:p>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tbl>
      <w:tblPr>
        <w:tblStyle w:val="16"/>
        <w:tblW w:w="8393" w:type="dxa"/>
        <w:tblInd w:w="-318" w:type="dxa"/>
        <w:tblLayout w:type="autofit"/>
        <w:tblCellMar>
          <w:top w:w="0" w:type="dxa"/>
          <w:left w:w="108" w:type="dxa"/>
          <w:bottom w:w="0" w:type="dxa"/>
          <w:right w:w="108" w:type="dxa"/>
        </w:tblCellMar>
      </w:tblPr>
      <w:tblGrid>
        <w:gridCol w:w="740"/>
        <w:gridCol w:w="2409"/>
        <w:gridCol w:w="709"/>
        <w:gridCol w:w="1134"/>
        <w:gridCol w:w="1134"/>
        <w:gridCol w:w="709"/>
        <w:gridCol w:w="849"/>
        <w:gridCol w:w="709"/>
      </w:tblGrid>
      <w:tr>
        <w:tblPrEx>
          <w:tblCellMar>
            <w:top w:w="0" w:type="dxa"/>
            <w:left w:w="108" w:type="dxa"/>
            <w:bottom w:w="0" w:type="dxa"/>
            <w:right w:w="108" w:type="dxa"/>
          </w:tblCellMar>
        </w:tblPrEx>
        <w:trPr>
          <w:trHeight w:val="510"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序号</w:t>
            </w:r>
          </w:p>
        </w:tc>
        <w:tc>
          <w:tcPr>
            <w:tcW w:w="24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品名</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产品品牌</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生产厂家</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规格型号</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计量单位</w:t>
            </w:r>
          </w:p>
        </w:tc>
        <w:tc>
          <w:tcPr>
            <w:tcW w:w="84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市场公开销售单价</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投标价格</w:t>
            </w:r>
          </w:p>
        </w:tc>
      </w:tr>
      <w:tr>
        <w:tblPrEx>
          <w:tblCellMar>
            <w:top w:w="0" w:type="dxa"/>
            <w:left w:w="108" w:type="dxa"/>
            <w:bottom w:w="0" w:type="dxa"/>
            <w:right w:w="108" w:type="dxa"/>
          </w:tblCellMar>
        </w:tblPrEx>
        <w:trPr>
          <w:trHeight w:val="285" w:hRule="atLeast"/>
        </w:trPr>
        <w:tc>
          <w:tcPr>
            <w:tcW w:w="7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olor w:val="000000"/>
                <w:szCs w:val="21"/>
              </w:rPr>
            </w:pPr>
            <w:r>
              <w:rPr>
                <w:rFonts w:hint="eastAsia"/>
                <w:bCs/>
                <w:szCs w:val="21"/>
              </w:rPr>
              <w:t>1</w:t>
            </w:r>
          </w:p>
        </w:tc>
        <w:tc>
          <w:tcPr>
            <w:tcW w:w="24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szCs w:val="21"/>
                <w14:textFill>
                  <w14:solidFill>
                    <w14:schemeClr w14:val="tx1"/>
                  </w14:solidFill>
                </w14:textFill>
              </w:rPr>
            </w:pPr>
            <w:r>
              <w:rPr>
                <w:rFonts w:hint="eastAsia"/>
                <w:color w:val="000000"/>
                <w:sz w:val="22"/>
              </w:rPr>
              <w:t>糖化血红蛋白分析用洗脱液ELUENT 90A</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szCs w:val="21"/>
                <w14:textFill>
                  <w14:solidFill>
                    <w14:schemeClr w14:val="tx1"/>
                  </w14:solidFill>
                </w14:textFill>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szCs w:val="21"/>
                <w14:textFill>
                  <w14:solidFill>
                    <w14:schemeClr w14:val="tx1"/>
                  </w14:solidFill>
                </w14:textFill>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14:textFill>
                  <w14:solidFill>
                    <w14:schemeClr w14:val="tx1"/>
                  </w14:solidFill>
                </w14:textFill>
              </w:rPr>
            </w:pP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szCs w:val="21"/>
                <w14:textFill>
                  <w14:solidFill>
                    <w14:schemeClr w14:val="tx1"/>
                  </w14:solidFill>
                </w14:textFill>
              </w:rPr>
            </w:pPr>
          </w:p>
        </w:tc>
        <w:tc>
          <w:tcPr>
            <w:tcW w:w="849" w:type="dxa"/>
            <w:tcBorders>
              <w:top w:val="nil"/>
              <w:left w:val="nil"/>
              <w:bottom w:val="single" w:color="auto" w:sz="4" w:space="0"/>
              <w:right w:val="single" w:color="auto" w:sz="4" w:space="0"/>
            </w:tcBorders>
          </w:tcPr>
          <w:p>
            <w:pPr>
              <w:widowControl/>
              <w:jc w:val="center"/>
              <w:rPr>
                <w:rFonts w:ascii="宋体" w:hAnsi="宋体"/>
                <w:color w:val="000000" w:themeColor="text1"/>
                <w:szCs w:val="21"/>
                <w14:textFill>
                  <w14:solidFill>
                    <w14:schemeClr w14:val="tx1"/>
                  </w14:solidFill>
                </w14:textFill>
              </w:rPr>
            </w:pPr>
          </w:p>
        </w:tc>
        <w:tc>
          <w:tcPr>
            <w:tcW w:w="709" w:type="dxa"/>
            <w:tcBorders>
              <w:top w:val="nil"/>
              <w:left w:val="nil"/>
              <w:bottom w:val="single" w:color="auto" w:sz="4" w:space="0"/>
              <w:right w:val="single" w:color="auto" w:sz="4" w:space="0"/>
            </w:tcBorders>
          </w:tcPr>
          <w:p>
            <w:pPr>
              <w:widowControl/>
              <w:jc w:val="center"/>
              <w:rPr>
                <w:rFonts w:ascii="宋体" w:hAnsi="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85" w:hRule="atLeast"/>
        </w:trPr>
        <w:tc>
          <w:tcPr>
            <w:tcW w:w="7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olor w:val="000000"/>
                <w:szCs w:val="21"/>
              </w:rPr>
            </w:pPr>
            <w:r>
              <w:rPr>
                <w:rFonts w:hint="eastAsia"/>
                <w:bCs/>
                <w:szCs w:val="21"/>
              </w:rPr>
              <w:t>2</w:t>
            </w:r>
          </w:p>
        </w:tc>
        <w:tc>
          <w:tcPr>
            <w:tcW w:w="24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szCs w:val="21"/>
                <w14:textFill>
                  <w14:solidFill>
                    <w14:schemeClr w14:val="tx1"/>
                  </w14:solidFill>
                </w14:textFill>
              </w:rPr>
            </w:pPr>
            <w:r>
              <w:rPr>
                <w:rFonts w:hint="eastAsia"/>
                <w:color w:val="000000"/>
                <w:sz w:val="22"/>
              </w:rPr>
              <w:t>糖化血红蛋白分析用洗脱液ELUENT 90B</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szCs w:val="21"/>
                <w14:textFill>
                  <w14:solidFill>
                    <w14:schemeClr w14:val="tx1"/>
                  </w14:solidFill>
                </w14:textFill>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szCs w:val="21"/>
                <w14:textFill>
                  <w14:solidFill>
                    <w14:schemeClr w14:val="tx1"/>
                  </w14:solidFill>
                </w14:textFill>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14:textFill>
                  <w14:solidFill>
                    <w14:schemeClr w14:val="tx1"/>
                  </w14:solidFill>
                </w14:textFill>
              </w:rPr>
            </w:pP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szCs w:val="21"/>
                <w14:textFill>
                  <w14:solidFill>
                    <w14:schemeClr w14:val="tx1"/>
                  </w14:solidFill>
                </w14:textFill>
              </w:rPr>
            </w:pPr>
          </w:p>
        </w:tc>
        <w:tc>
          <w:tcPr>
            <w:tcW w:w="849" w:type="dxa"/>
            <w:tcBorders>
              <w:top w:val="nil"/>
              <w:left w:val="nil"/>
              <w:bottom w:val="single" w:color="auto" w:sz="4" w:space="0"/>
              <w:right w:val="single" w:color="auto" w:sz="4" w:space="0"/>
            </w:tcBorders>
          </w:tcPr>
          <w:p>
            <w:pPr>
              <w:widowControl/>
              <w:jc w:val="center"/>
              <w:rPr>
                <w:rFonts w:ascii="宋体" w:hAnsi="宋体"/>
                <w:color w:val="000000" w:themeColor="text1"/>
                <w:szCs w:val="21"/>
                <w14:textFill>
                  <w14:solidFill>
                    <w14:schemeClr w14:val="tx1"/>
                  </w14:solidFill>
                </w14:textFill>
              </w:rPr>
            </w:pPr>
          </w:p>
        </w:tc>
        <w:tc>
          <w:tcPr>
            <w:tcW w:w="709" w:type="dxa"/>
            <w:tcBorders>
              <w:top w:val="nil"/>
              <w:left w:val="nil"/>
              <w:bottom w:val="single" w:color="auto" w:sz="4" w:space="0"/>
              <w:right w:val="single" w:color="auto" w:sz="4" w:space="0"/>
            </w:tcBorders>
          </w:tcPr>
          <w:p>
            <w:pPr>
              <w:widowControl/>
              <w:jc w:val="center"/>
              <w:rPr>
                <w:rFonts w:ascii="宋体" w:hAnsi="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85" w:hRule="atLeast"/>
        </w:trPr>
        <w:tc>
          <w:tcPr>
            <w:tcW w:w="7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olor w:val="000000"/>
                <w:szCs w:val="21"/>
              </w:rPr>
            </w:pPr>
            <w:r>
              <w:rPr>
                <w:rFonts w:hint="eastAsia"/>
                <w:bCs/>
                <w:szCs w:val="21"/>
              </w:rPr>
              <w:t>3</w:t>
            </w:r>
          </w:p>
        </w:tc>
        <w:tc>
          <w:tcPr>
            <w:tcW w:w="24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szCs w:val="21"/>
                <w14:textFill>
                  <w14:solidFill>
                    <w14:schemeClr w14:val="tx1"/>
                  </w14:solidFill>
                </w14:textFill>
              </w:rPr>
            </w:pPr>
            <w:r>
              <w:rPr>
                <w:rFonts w:hint="eastAsia"/>
                <w:color w:val="000000"/>
                <w:sz w:val="22"/>
              </w:rPr>
              <w:t>糖化血红蛋白分析用洗脱液ELUENT 90CV-S</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szCs w:val="21"/>
                <w14:textFill>
                  <w14:solidFill>
                    <w14:schemeClr w14:val="tx1"/>
                  </w14:solidFill>
                </w14:textFill>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szCs w:val="21"/>
                <w14:textFill>
                  <w14:solidFill>
                    <w14:schemeClr w14:val="tx1"/>
                  </w14:solidFill>
                </w14:textFill>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14:textFill>
                  <w14:solidFill>
                    <w14:schemeClr w14:val="tx1"/>
                  </w14:solidFill>
                </w14:textFill>
              </w:rPr>
            </w:pP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szCs w:val="21"/>
                <w14:textFill>
                  <w14:solidFill>
                    <w14:schemeClr w14:val="tx1"/>
                  </w14:solidFill>
                </w14:textFill>
              </w:rPr>
            </w:pPr>
          </w:p>
        </w:tc>
        <w:tc>
          <w:tcPr>
            <w:tcW w:w="849" w:type="dxa"/>
            <w:tcBorders>
              <w:top w:val="nil"/>
              <w:left w:val="nil"/>
              <w:bottom w:val="single" w:color="auto" w:sz="4" w:space="0"/>
              <w:right w:val="single" w:color="auto" w:sz="4" w:space="0"/>
            </w:tcBorders>
          </w:tcPr>
          <w:p>
            <w:pPr>
              <w:widowControl/>
              <w:jc w:val="center"/>
              <w:rPr>
                <w:rFonts w:ascii="宋体" w:hAnsi="宋体"/>
                <w:color w:val="000000" w:themeColor="text1"/>
                <w:szCs w:val="21"/>
                <w14:textFill>
                  <w14:solidFill>
                    <w14:schemeClr w14:val="tx1"/>
                  </w14:solidFill>
                </w14:textFill>
              </w:rPr>
            </w:pPr>
          </w:p>
        </w:tc>
        <w:tc>
          <w:tcPr>
            <w:tcW w:w="709" w:type="dxa"/>
            <w:tcBorders>
              <w:top w:val="nil"/>
              <w:left w:val="nil"/>
              <w:bottom w:val="single" w:color="auto" w:sz="4" w:space="0"/>
              <w:right w:val="single" w:color="auto" w:sz="4" w:space="0"/>
            </w:tcBorders>
          </w:tcPr>
          <w:p>
            <w:pPr>
              <w:widowControl/>
              <w:jc w:val="center"/>
              <w:rPr>
                <w:rFonts w:ascii="宋体" w:hAnsi="宋体"/>
                <w:color w:val="000000" w:themeColor="text1"/>
                <w:szCs w:val="21"/>
                <w14:textFill>
                  <w14:solidFill>
                    <w14:schemeClr w14:val="tx1"/>
                  </w14:solidFill>
                </w14:textFill>
              </w:rPr>
            </w:pPr>
          </w:p>
        </w:tc>
      </w:tr>
      <w:tr>
        <w:trPr>
          <w:trHeight w:val="567" w:hRule="atLeast"/>
        </w:trPr>
        <w:tc>
          <w:tcPr>
            <w:tcW w:w="7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olor w:val="000000"/>
                <w:szCs w:val="21"/>
              </w:rPr>
            </w:pPr>
            <w:r>
              <w:rPr>
                <w:rFonts w:hint="eastAsia"/>
                <w:bCs/>
                <w:szCs w:val="21"/>
              </w:rPr>
              <w:t>4</w:t>
            </w:r>
          </w:p>
        </w:tc>
        <w:tc>
          <w:tcPr>
            <w:tcW w:w="24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szCs w:val="21"/>
                <w14:textFill>
                  <w14:solidFill>
                    <w14:schemeClr w14:val="tx1"/>
                  </w14:solidFill>
                </w14:textFill>
              </w:rPr>
            </w:pPr>
            <w:r>
              <w:rPr>
                <w:rFonts w:hint="eastAsia"/>
                <w:color w:val="000000"/>
                <w:sz w:val="22"/>
              </w:rPr>
              <w:t>糖化血红蛋白溶血剂</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szCs w:val="21"/>
                <w14:textFill>
                  <w14:solidFill>
                    <w14:schemeClr w14:val="tx1"/>
                  </w14:solidFill>
                </w14:textFill>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szCs w:val="21"/>
                <w14:textFill>
                  <w14:solidFill>
                    <w14:schemeClr w14:val="tx1"/>
                  </w14:solidFill>
                </w14:textFill>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14:textFill>
                  <w14:solidFill>
                    <w14:schemeClr w14:val="tx1"/>
                  </w14:solidFill>
                </w14:textFill>
              </w:rPr>
            </w:pP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szCs w:val="21"/>
                <w14:textFill>
                  <w14:solidFill>
                    <w14:schemeClr w14:val="tx1"/>
                  </w14:solidFill>
                </w14:textFill>
              </w:rPr>
            </w:pPr>
          </w:p>
        </w:tc>
        <w:tc>
          <w:tcPr>
            <w:tcW w:w="849" w:type="dxa"/>
            <w:tcBorders>
              <w:top w:val="nil"/>
              <w:left w:val="nil"/>
              <w:bottom w:val="single" w:color="auto" w:sz="4" w:space="0"/>
              <w:right w:val="single" w:color="auto" w:sz="4" w:space="0"/>
            </w:tcBorders>
          </w:tcPr>
          <w:p>
            <w:pPr>
              <w:widowControl/>
              <w:jc w:val="center"/>
              <w:rPr>
                <w:rFonts w:ascii="宋体" w:hAnsi="宋体"/>
                <w:color w:val="000000" w:themeColor="text1"/>
                <w:szCs w:val="21"/>
                <w14:textFill>
                  <w14:solidFill>
                    <w14:schemeClr w14:val="tx1"/>
                  </w14:solidFill>
                </w14:textFill>
              </w:rPr>
            </w:pPr>
          </w:p>
        </w:tc>
        <w:tc>
          <w:tcPr>
            <w:tcW w:w="709" w:type="dxa"/>
            <w:tcBorders>
              <w:top w:val="nil"/>
              <w:left w:val="nil"/>
              <w:bottom w:val="single" w:color="auto" w:sz="4" w:space="0"/>
              <w:right w:val="single" w:color="auto" w:sz="4" w:space="0"/>
            </w:tcBorders>
          </w:tcPr>
          <w:p>
            <w:pPr>
              <w:widowControl/>
              <w:jc w:val="center"/>
              <w:rPr>
                <w:rFonts w:ascii="宋体" w:hAnsi="宋体"/>
                <w:color w:val="000000" w:themeColor="text1"/>
                <w:szCs w:val="21"/>
                <w14:textFill>
                  <w14:solidFill>
                    <w14:schemeClr w14:val="tx1"/>
                  </w14:solidFill>
                </w14:textFill>
              </w:rPr>
            </w:pPr>
          </w:p>
        </w:tc>
      </w:tr>
      <w:tr>
        <w:trPr>
          <w:trHeight w:val="285" w:hRule="atLeast"/>
        </w:trPr>
        <w:tc>
          <w:tcPr>
            <w:tcW w:w="7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olor w:val="000000"/>
                <w:szCs w:val="21"/>
              </w:rPr>
            </w:pPr>
            <w:r>
              <w:rPr>
                <w:rFonts w:hint="eastAsia"/>
                <w:bCs/>
                <w:szCs w:val="21"/>
              </w:rPr>
              <w:t>5</w:t>
            </w:r>
          </w:p>
        </w:tc>
        <w:tc>
          <w:tcPr>
            <w:tcW w:w="24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szCs w:val="21"/>
                <w14:textFill>
                  <w14:solidFill>
                    <w14:schemeClr w14:val="tx1"/>
                  </w14:solidFill>
                </w14:textFill>
              </w:rPr>
            </w:pPr>
            <w:r>
              <w:rPr>
                <w:rFonts w:hint="eastAsia"/>
                <w:color w:val="000000"/>
                <w:sz w:val="22"/>
              </w:rPr>
              <w:t>糖化血红蛋白层析柱COLUMN UNIT 90</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szCs w:val="21"/>
                <w14:textFill>
                  <w14:solidFill>
                    <w14:schemeClr w14:val="tx1"/>
                  </w14:solidFill>
                </w14:textFill>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szCs w:val="21"/>
                <w14:textFill>
                  <w14:solidFill>
                    <w14:schemeClr w14:val="tx1"/>
                  </w14:solidFill>
                </w14:textFill>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14:textFill>
                  <w14:solidFill>
                    <w14:schemeClr w14:val="tx1"/>
                  </w14:solidFill>
                </w14:textFill>
              </w:rPr>
            </w:pP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szCs w:val="21"/>
                <w14:textFill>
                  <w14:solidFill>
                    <w14:schemeClr w14:val="tx1"/>
                  </w14:solidFill>
                </w14:textFill>
              </w:rPr>
            </w:pPr>
          </w:p>
        </w:tc>
        <w:tc>
          <w:tcPr>
            <w:tcW w:w="849" w:type="dxa"/>
            <w:tcBorders>
              <w:top w:val="nil"/>
              <w:left w:val="nil"/>
              <w:bottom w:val="single" w:color="auto" w:sz="4" w:space="0"/>
              <w:right w:val="single" w:color="auto" w:sz="4" w:space="0"/>
            </w:tcBorders>
          </w:tcPr>
          <w:p>
            <w:pPr>
              <w:widowControl/>
              <w:jc w:val="center"/>
              <w:rPr>
                <w:rFonts w:ascii="宋体" w:hAnsi="宋体"/>
                <w:color w:val="000000" w:themeColor="text1"/>
                <w:szCs w:val="21"/>
                <w14:textFill>
                  <w14:solidFill>
                    <w14:schemeClr w14:val="tx1"/>
                  </w14:solidFill>
                </w14:textFill>
              </w:rPr>
            </w:pPr>
          </w:p>
        </w:tc>
        <w:tc>
          <w:tcPr>
            <w:tcW w:w="709" w:type="dxa"/>
            <w:tcBorders>
              <w:top w:val="nil"/>
              <w:left w:val="nil"/>
              <w:bottom w:val="single" w:color="auto" w:sz="4" w:space="0"/>
              <w:right w:val="single" w:color="auto" w:sz="4" w:space="0"/>
            </w:tcBorders>
          </w:tcPr>
          <w:p>
            <w:pPr>
              <w:widowControl/>
              <w:jc w:val="center"/>
              <w:rPr>
                <w:rFonts w:ascii="宋体" w:hAnsi="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85" w:hRule="atLeast"/>
        </w:trPr>
        <w:tc>
          <w:tcPr>
            <w:tcW w:w="7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olor w:val="000000"/>
                <w:szCs w:val="21"/>
              </w:rPr>
            </w:pPr>
            <w:r>
              <w:rPr>
                <w:bCs/>
                <w:szCs w:val="21"/>
              </w:rPr>
              <w:t>6</w:t>
            </w:r>
          </w:p>
        </w:tc>
        <w:tc>
          <w:tcPr>
            <w:tcW w:w="24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szCs w:val="21"/>
                <w14:textFill>
                  <w14:solidFill>
                    <w14:schemeClr w14:val="tx1"/>
                  </w14:solidFill>
                </w14:textFill>
              </w:rPr>
            </w:pPr>
            <w:r>
              <w:rPr>
                <w:rFonts w:hint="eastAsia"/>
                <w:color w:val="000000"/>
                <w:sz w:val="22"/>
              </w:rPr>
              <w:t>糖化血红蛋白校准品CALIBRATOR 90</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szCs w:val="21"/>
                <w14:textFill>
                  <w14:solidFill>
                    <w14:schemeClr w14:val="tx1"/>
                  </w14:solidFill>
                </w14:textFill>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szCs w:val="21"/>
                <w14:textFill>
                  <w14:solidFill>
                    <w14:schemeClr w14:val="tx1"/>
                  </w14:solidFill>
                </w14:textFill>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14:textFill>
                  <w14:solidFill>
                    <w14:schemeClr w14:val="tx1"/>
                  </w14:solidFill>
                </w14:textFill>
              </w:rPr>
            </w:pP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szCs w:val="21"/>
                <w14:textFill>
                  <w14:solidFill>
                    <w14:schemeClr w14:val="tx1"/>
                  </w14:solidFill>
                </w14:textFill>
              </w:rPr>
            </w:pPr>
          </w:p>
        </w:tc>
        <w:tc>
          <w:tcPr>
            <w:tcW w:w="849" w:type="dxa"/>
            <w:tcBorders>
              <w:top w:val="nil"/>
              <w:left w:val="nil"/>
              <w:bottom w:val="single" w:color="auto" w:sz="4" w:space="0"/>
              <w:right w:val="single" w:color="auto" w:sz="4" w:space="0"/>
            </w:tcBorders>
          </w:tcPr>
          <w:p>
            <w:pPr>
              <w:widowControl/>
              <w:jc w:val="center"/>
              <w:rPr>
                <w:rFonts w:ascii="宋体" w:hAnsi="宋体"/>
                <w:color w:val="000000" w:themeColor="text1"/>
                <w:szCs w:val="21"/>
                <w14:textFill>
                  <w14:solidFill>
                    <w14:schemeClr w14:val="tx1"/>
                  </w14:solidFill>
                </w14:textFill>
              </w:rPr>
            </w:pPr>
          </w:p>
        </w:tc>
        <w:tc>
          <w:tcPr>
            <w:tcW w:w="709" w:type="dxa"/>
            <w:tcBorders>
              <w:top w:val="nil"/>
              <w:left w:val="nil"/>
              <w:bottom w:val="single" w:color="auto" w:sz="4" w:space="0"/>
              <w:right w:val="single" w:color="auto" w:sz="4" w:space="0"/>
            </w:tcBorders>
          </w:tcPr>
          <w:p>
            <w:pPr>
              <w:widowControl/>
              <w:jc w:val="center"/>
              <w:rPr>
                <w:rFonts w:ascii="宋体" w:hAnsi="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85" w:hRule="atLeast"/>
        </w:trPr>
        <w:tc>
          <w:tcPr>
            <w:tcW w:w="7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olor w:val="000000"/>
                <w:szCs w:val="21"/>
              </w:rPr>
            </w:pPr>
            <w:r>
              <w:rPr>
                <w:rFonts w:hint="eastAsia"/>
                <w:bCs/>
                <w:szCs w:val="21"/>
              </w:rPr>
              <w:t>7</w:t>
            </w:r>
          </w:p>
        </w:tc>
        <w:tc>
          <w:tcPr>
            <w:tcW w:w="2409" w:type="dxa"/>
            <w:tcBorders>
              <w:top w:val="nil"/>
              <w:left w:val="nil"/>
              <w:bottom w:val="single" w:color="auto" w:sz="4" w:space="0"/>
              <w:right w:val="single" w:color="auto" w:sz="4" w:space="0"/>
            </w:tcBorders>
            <w:shd w:val="clear" w:color="auto" w:fill="auto"/>
            <w:noWrap/>
            <w:vAlign w:val="center"/>
          </w:tcPr>
          <w:p>
            <w:pPr>
              <w:widowControl/>
              <w:jc w:val="center"/>
              <w:rPr>
                <w:rFonts w:hint="eastAsia"/>
                <w:color w:val="000000"/>
                <w:kern w:val="0"/>
                <w:sz w:val="22"/>
              </w:rPr>
            </w:pPr>
            <w:r>
              <w:rPr>
                <w:rFonts w:hint="eastAsia"/>
                <w:color w:val="000000"/>
                <w:sz w:val="22"/>
              </w:rPr>
              <w:t>糖化血红蛋白质控品Universal Control A1c 2</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szCs w:val="21"/>
                <w14:textFill>
                  <w14:solidFill>
                    <w14:schemeClr w14:val="tx1"/>
                  </w14:solidFill>
                </w14:textFill>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szCs w:val="21"/>
                <w14:textFill>
                  <w14:solidFill>
                    <w14:schemeClr w14:val="tx1"/>
                  </w14:solidFill>
                </w14:textFill>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14:textFill>
                  <w14:solidFill>
                    <w14:schemeClr w14:val="tx1"/>
                  </w14:solidFill>
                </w14:textFill>
              </w:rPr>
            </w:pP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szCs w:val="21"/>
                <w14:textFill>
                  <w14:solidFill>
                    <w14:schemeClr w14:val="tx1"/>
                  </w14:solidFill>
                </w14:textFill>
              </w:rPr>
            </w:pPr>
          </w:p>
        </w:tc>
        <w:tc>
          <w:tcPr>
            <w:tcW w:w="849" w:type="dxa"/>
            <w:tcBorders>
              <w:top w:val="nil"/>
              <w:left w:val="nil"/>
              <w:bottom w:val="single" w:color="auto" w:sz="4" w:space="0"/>
              <w:right w:val="single" w:color="auto" w:sz="4" w:space="0"/>
            </w:tcBorders>
          </w:tcPr>
          <w:p>
            <w:pPr>
              <w:widowControl/>
              <w:jc w:val="center"/>
              <w:rPr>
                <w:rFonts w:ascii="宋体" w:hAnsi="宋体"/>
                <w:color w:val="000000" w:themeColor="text1"/>
                <w:szCs w:val="21"/>
                <w14:textFill>
                  <w14:solidFill>
                    <w14:schemeClr w14:val="tx1"/>
                  </w14:solidFill>
                </w14:textFill>
              </w:rPr>
            </w:pPr>
          </w:p>
        </w:tc>
        <w:tc>
          <w:tcPr>
            <w:tcW w:w="709" w:type="dxa"/>
            <w:tcBorders>
              <w:top w:val="nil"/>
              <w:left w:val="nil"/>
              <w:bottom w:val="single" w:color="auto" w:sz="4" w:space="0"/>
              <w:right w:val="single" w:color="auto" w:sz="4" w:space="0"/>
            </w:tcBorders>
          </w:tcPr>
          <w:p>
            <w:pPr>
              <w:widowControl/>
              <w:jc w:val="center"/>
              <w:rPr>
                <w:rFonts w:ascii="宋体" w:hAnsi="宋体"/>
                <w:color w:val="000000" w:themeColor="text1"/>
                <w:szCs w:val="21"/>
                <w14:textFill>
                  <w14:solidFill>
                    <w14:schemeClr w14:val="tx1"/>
                  </w14:solidFill>
                </w14:textFill>
              </w:rPr>
            </w:pPr>
          </w:p>
        </w:tc>
      </w:tr>
    </w:tbl>
    <w:p>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(投标人自拟格式；按照采购文件需求，报每项产品的明细报价，将每项产品品牌、生产厂家、市场公开销售单价和折扣后的单价一并列明在分项报价表中)</w:t>
      </w:r>
    </w:p>
    <w:p>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headerReference r:id="rId3" w:type="default"/>
          <w:footerReference r:id="rId4" w:type="default"/>
          <w:footerReference r:id="rId5" w:type="even"/>
          <w:pgSz w:w="11906" w:h="16838"/>
          <w:pgMar w:top="1440" w:right="2267" w:bottom="1440" w:left="1800" w:header="851" w:footer="992" w:gutter="0"/>
          <w:cols w:space="720" w:num="1"/>
          <w:docGrid w:type="lines" w:linePitch="312" w:charSpace="0"/>
        </w:sectPr>
      </w:pPr>
    </w:p>
    <w:p>
      <w:pPr>
        <w:autoSpaceDE w:val="0"/>
        <w:autoSpaceDN w:val="0"/>
        <w:adjustRightInd w:val="0"/>
        <w:jc w:val="center"/>
        <w:rPr>
          <w:rFonts w:ascii="华文新魏" w:hAnsi="MS Sans Serif" w:eastAsia="华文新魏"/>
          <w:b/>
          <w:bCs/>
          <w:kern w:val="0"/>
          <w:sz w:val="48"/>
          <w:szCs w:val="46"/>
        </w:rPr>
      </w:pPr>
      <w:bookmarkStart w:id="6" w:name="_Toc119321151"/>
      <w:r>
        <w:rPr>
          <w:rFonts w:hint="eastAsia" w:ascii="华文新魏" w:hAnsi="MS Sans Serif" w:eastAsia="华文新魏"/>
          <w:b/>
          <w:bCs/>
          <w:kern w:val="0"/>
          <w:sz w:val="48"/>
          <w:szCs w:val="46"/>
        </w:rPr>
        <w:t>法定代表人授权书</w:t>
      </w:r>
      <w:bookmarkEnd w:id="6"/>
    </w:p>
    <w:p>
      <w:pPr>
        <w:spacing w:line="360" w:lineRule="auto"/>
        <w:rPr>
          <w:b/>
          <w:bCs/>
          <w:color w:val="000000"/>
          <w:sz w:val="24"/>
          <w:lang w:val="en-GB"/>
        </w:rPr>
      </w:pPr>
    </w:p>
    <w:p>
      <w:pPr>
        <w:spacing w:line="360" w:lineRule="auto"/>
        <w:ind w:left="361" w:hanging="361" w:hangingChars="150"/>
        <w:rPr>
          <w:b/>
          <w:bCs/>
          <w:color w:val="000000"/>
          <w:sz w:val="24"/>
          <w:lang w:val="en-GB"/>
        </w:rPr>
      </w:pPr>
      <w:r>
        <w:rPr>
          <w:rFonts w:hint="eastAsia"/>
          <w:b/>
          <w:bCs/>
          <w:color w:val="000000"/>
          <w:sz w:val="24"/>
          <w:lang w:val="en-GB"/>
        </w:rPr>
        <w:t>深圳大学总医院：</w:t>
      </w:r>
    </w:p>
    <w:p>
      <w:pPr>
        <w:spacing w:line="360" w:lineRule="auto"/>
        <w:ind w:firstLine="480" w:firstLineChars="20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先生/女士作为我公司的合法授权代理人，参与贵单位组织的采购项目投标和谈判。</w:t>
      </w:r>
    </w:p>
    <w:p>
      <w:pPr>
        <w:spacing w:line="360" w:lineRule="auto"/>
        <w:ind w:firstLine="480" w:firstLineChars="200"/>
        <w:rPr>
          <w:color w:val="000000"/>
          <w:sz w:val="24"/>
        </w:rPr>
      </w:pPr>
      <w:r>
        <w:rPr>
          <w:rFonts w:hint="eastAsia"/>
          <w:color w:val="000000"/>
          <w:sz w:val="24"/>
        </w:rPr>
        <w:t>招标编号：</w:t>
      </w:r>
    </w:p>
    <w:p>
      <w:pPr>
        <w:spacing w:line="360" w:lineRule="auto"/>
        <w:ind w:firstLine="480" w:firstLineChars="200"/>
        <w:jc w:val="left"/>
        <w:rPr>
          <w:color w:val="000000"/>
          <w:sz w:val="24"/>
        </w:rPr>
      </w:pPr>
      <w:r>
        <w:rPr>
          <w:rFonts w:hint="eastAsia"/>
          <w:color w:val="000000"/>
          <w:sz w:val="24"/>
        </w:rPr>
        <w:t>项目名称：</w:t>
      </w:r>
    </w:p>
    <w:p>
      <w:pPr>
        <w:spacing w:line="360" w:lineRule="auto"/>
        <w:ind w:left="1679" w:leftChars="228" w:hanging="1200" w:hangingChars="500"/>
        <w:rPr>
          <w:color w:val="000000"/>
          <w:sz w:val="24"/>
          <w:lang w:val="en-GB"/>
        </w:rPr>
      </w:pPr>
      <w:r>
        <w:rPr>
          <w:rFonts w:hint="eastAsia"/>
          <w:color w:val="000000"/>
          <w:sz w:val="24"/>
          <w:lang w:val="en-GB"/>
        </w:rPr>
        <w:t>授权权限：全权代表本公司参与上述采购项目的投标和谈判，并负责一切文书资料的提供与确认。</w:t>
      </w:r>
    </w:p>
    <w:p>
      <w:pPr>
        <w:spacing w:line="360" w:lineRule="auto"/>
        <w:ind w:left="1679" w:leftChars="228" w:hanging="1200" w:hangingChars="500"/>
        <w:rPr>
          <w:color w:val="000000"/>
          <w:sz w:val="24"/>
          <w:lang w:val="en-GB"/>
        </w:rPr>
      </w:pPr>
      <w:r>
        <w:rPr>
          <w:rFonts w:hint="eastAsia"/>
          <w:color w:val="000000"/>
          <w:sz w:val="24"/>
          <w:lang w:val="en-GB"/>
        </w:rPr>
        <w:t>有效期限：与本公司投标文件中标注的投标有效期相同，自法人代表签字之日起生效。</w:t>
      </w:r>
    </w:p>
    <w:p>
      <w:pPr>
        <w:spacing w:line="360" w:lineRule="auto"/>
        <w:ind w:firstLine="480" w:firstLineChars="200"/>
        <w:rPr>
          <w:color w:val="000000"/>
          <w:sz w:val="24"/>
          <w:lang w:val="en-GB"/>
        </w:rPr>
      </w:pPr>
    </w:p>
    <w:p>
      <w:pPr>
        <w:spacing w:line="360" w:lineRule="auto"/>
        <w:ind w:firstLine="480" w:firstLineChars="20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pPr>
        <w:spacing w:line="360" w:lineRule="auto"/>
        <w:ind w:firstLine="480" w:firstLineChars="200"/>
        <w:rPr>
          <w:color w:val="000000"/>
          <w:sz w:val="24"/>
          <w:lang w:val="en-GB"/>
        </w:rPr>
      </w:pPr>
      <w:r>
        <w:rPr>
          <w:rFonts w:hint="eastAsia"/>
          <w:color w:val="000000"/>
          <w:sz w:val="24"/>
          <w:lang w:val="en-GB"/>
        </w:rPr>
        <w:t>职务：身份证号码：</w:t>
      </w:r>
    </w:p>
    <w:p>
      <w:pPr>
        <w:spacing w:line="360" w:lineRule="auto"/>
        <w:rPr>
          <w:color w:val="000000"/>
          <w:sz w:val="24"/>
          <w:lang w:val="en-GB"/>
        </w:rPr>
      </w:pPr>
    </w:p>
    <w:p>
      <w:pPr>
        <w:spacing w:line="360" w:lineRule="auto"/>
        <w:rPr>
          <w:color w:val="000000"/>
          <w:sz w:val="24"/>
          <w:lang w:val="en-GB"/>
        </w:rPr>
      </w:pPr>
    </w:p>
    <w:p>
      <w:pPr>
        <w:spacing w:line="360" w:lineRule="auto"/>
        <w:ind w:firstLine="480" w:firstLineChars="20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pPr>
        <w:spacing w:line="360" w:lineRule="auto"/>
        <w:ind w:firstLine="480" w:firstLineChars="200"/>
        <w:rPr>
          <w:color w:val="000000"/>
          <w:sz w:val="24"/>
          <w:u w:val="single"/>
          <w:lang w:val="en-GB"/>
        </w:rPr>
      </w:pPr>
      <w:r>
        <w:rPr>
          <w:rFonts w:hint="eastAsia"/>
          <w:color w:val="000000"/>
          <w:sz w:val="24"/>
          <w:lang w:val="en-GB"/>
        </w:rPr>
        <w:t>法定代表人：</w:t>
      </w:r>
      <w:r>
        <w:rPr>
          <w:rFonts w:hint="eastAsia"/>
          <w:color w:val="000000"/>
          <w:sz w:val="24"/>
          <w:u w:val="single"/>
          <w:lang w:val="en-GB"/>
        </w:rPr>
        <w:t>（亲笔签名或签章）</w:t>
      </w:r>
      <w:r>
        <w:rPr>
          <w:rFonts w:hint="eastAsia"/>
          <w:color w:val="000000"/>
          <w:sz w:val="24"/>
          <w:lang w:val="en-GB"/>
        </w:rPr>
        <w:t>联系电话：</w:t>
      </w:r>
    </w:p>
    <w:p>
      <w:pPr>
        <w:spacing w:line="360" w:lineRule="auto"/>
        <w:ind w:firstLine="480" w:firstLineChars="200"/>
        <w:rPr>
          <w:color w:val="000000"/>
          <w:sz w:val="24"/>
          <w:u w:val="single"/>
          <w:lang w:val="en-GB"/>
        </w:rPr>
      </w:pPr>
      <w:r>
        <w:rPr>
          <w:rFonts w:hint="eastAsia"/>
          <w:color w:val="000000"/>
          <w:sz w:val="24"/>
          <w:lang w:val="en-GB"/>
        </w:rPr>
        <w:t>职务：身份证号码：</w:t>
      </w:r>
    </w:p>
    <w:p>
      <w:pPr>
        <w:spacing w:line="360" w:lineRule="auto"/>
        <w:ind w:firstLine="480" w:firstLineChars="200"/>
        <w:rPr>
          <w:color w:val="000000"/>
          <w:sz w:val="24"/>
          <w:lang w:val="en-GB"/>
        </w:rPr>
      </w:pPr>
    </w:p>
    <w:p>
      <w:pPr>
        <w:spacing w:line="360" w:lineRule="auto"/>
        <w:ind w:firstLine="480" w:firstLineChars="200"/>
        <w:rPr>
          <w:color w:val="000000"/>
          <w:lang w:val="en-GB"/>
        </w:rPr>
      </w:pPr>
      <w:r>
        <w:rPr>
          <w:rFonts w:hint="eastAsia"/>
          <w:color w:val="000000"/>
          <w:sz w:val="24"/>
          <w:lang w:val="en-GB"/>
        </w:rPr>
        <w:t>生效日期：年月日</w:t>
      </w:r>
    </w:p>
    <w:p>
      <w:pPr>
        <w:spacing w:line="360" w:lineRule="auto"/>
        <w:ind w:firstLine="420" w:firstLineChars="200"/>
        <w:rPr>
          <w:color w:val="000000"/>
          <w:lang w:val="en-GB"/>
        </w:rPr>
      </w:pPr>
    </w:p>
    <w:p>
      <w:pPr>
        <w:spacing w:line="360" w:lineRule="auto"/>
        <w:ind w:firstLine="420" w:firstLineChars="200"/>
        <w:rPr>
          <w:color w:val="000000"/>
          <w:lang w:val="en-GB"/>
        </w:rPr>
      </w:pPr>
    </w:p>
    <w:p>
      <w:pPr>
        <w:spacing w:line="360" w:lineRule="auto"/>
        <w:ind w:firstLine="420" w:firstLineChars="200"/>
        <w:rPr>
          <w:color w:val="000000"/>
          <w:lang w:val="en-GB"/>
        </w:rPr>
      </w:pPr>
    </w:p>
    <w:p>
      <w:pPr>
        <w:spacing w:line="360" w:lineRule="auto"/>
        <w:ind w:firstLine="420" w:firstLineChars="200"/>
        <w:rPr>
          <w:color w:val="000000"/>
          <w:lang w:val="en-GB"/>
        </w:rPr>
      </w:pPr>
    </w:p>
    <w:p>
      <w:pPr>
        <w:spacing w:line="360" w:lineRule="auto"/>
        <w:ind w:firstLine="420" w:firstLineChars="200"/>
        <w:rPr>
          <w:color w:val="FF0000"/>
          <w:lang w:val="en-GB"/>
        </w:rPr>
      </w:pPr>
      <w:r>
        <w:rPr>
          <w:rFonts w:hint="eastAsia"/>
          <w:color w:val="FF0000"/>
          <w:lang w:val="en-GB"/>
        </w:rPr>
        <w:t>注：本授权书内容不得擅自修改。</w:t>
      </w:r>
    </w:p>
    <w:p>
      <w:pPr>
        <w:autoSpaceDE w:val="0"/>
        <w:autoSpaceDN w:val="0"/>
        <w:adjustRightInd w:val="0"/>
        <w:jc w:val="center"/>
        <w:rPr>
          <w:rFonts w:ascii="华文新魏" w:hAnsi="MS Sans Serif" w:eastAsia="华文新魏"/>
          <w:b/>
          <w:bCs/>
          <w:kern w:val="0"/>
          <w:sz w:val="48"/>
          <w:szCs w:val="46"/>
        </w:rPr>
      </w:pPr>
      <w:bookmarkStart w:id="7" w:name="_Toc49329266"/>
      <w:bookmarkStart w:id="8" w:name="_Toc37670364"/>
      <w:bookmarkStart w:id="9" w:name="_Toc119321152"/>
      <w:r>
        <w:rPr>
          <w:rFonts w:ascii="宋体" w:hAnsi="MS Sans Serif"/>
          <w:b/>
          <w:bCs/>
          <w:kern w:val="0"/>
          <w:sz w:val="46"/>
          <w:szCs w:val="46"/>
        </w:rPr>
        <w:br w:type="page"/>
      </w:r>
      <w:r>
        <w:rPr>
          <w:rFonts w:hint="eastAsia" w:ascii="华文新魏" w:hAnsi="MS Sans Serif" w:eastAsia="华文新魏"/>
          <w:b/>
          <w:bCs/>
          <w:kern w:val="0"/>
          <w:sz w:val="48"/>
          <w:szCs w:val="46"/>
        </w:rPr>
        <w:t>谈判承诺函</w:t>
      </w:r>
      <w:bookmarkEnd w:id="7"/>
      <w:bookmarkEnd w:id="8"/>
      <w:bookmarkEnd w:id="9"/>
    </w:p>
    <w:p>
      <w:pPr>
        <w:spacing w:line="360" w:lineRule="auto"/>
        <w:ind w:left="361" w:hanging="361" w:hangingChars="150"/>
        <w:rPr>
          <w:b/>
          <w:bCs/>
          <w:color w:val="000000"/>
          <w:sz w:val="24"/>
          <w:lang w:val="en-GB"/>
        </w:rPr>
      </w:pPr>
    </w:p>
    <w:p>
      <w:pPr>
        <w:spacing w:line="360" w:lineRule="auto"/>
        <w:ind w:left="361" w:hanging="361" w:hangingChars="150"/>
        <w:rPr>
          <w:b/>
          <w:bCs/>
          <w:color w:val="000000"/>
          <w:sz w:val="24"/>
          <w:lang w:val="en-GB"/>
        </w:rPr>
      </w:pPr>
      <w:r>
        <w:rPr>
          <w:rFonts w:hint="eastAsia"/>
          <w:b/>
          <w:bCs/>
          <w:color w:val="000000"/>
          <w:sz w:val="24"/>
          <w:lang w:val="en-GB"/>
        </w:rPr>
        <w:t>致深圳大学总医院：</w:t>
      </w:r>
    </w:p>
    <w:p>
      <w:pPr>
        <w:spacing w:line="360" w:lineRule="auto"/>
        <w:ind w:firstLine="420"/>
        <w:rPr>
          <w:color w:val="000000"/>
          <w:sz w:val="24"/>
        </w:rPr>
      </w:pPr>
      <w:r>
        <w:rPr>
          <w:rFonts w:hint="eastAsia"/>
          <w:color w:val="000000"/>
          <w:sz w:val="24"/>
        </w:rPr>
        <w:t>根据采购文件的要求，现提供已签署和密封的正副本谈判文件，并正式授权：</w:t>
      </w:r>
    </w:p>
    <w:p>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pPr>
        <w:spacing w:line="360" w:lineRule="auto"/>
        <w:rPr>
          <w:color w:val="000000"/>
          <w:sz w:val="24"/>
        </w:rPr>
      </w:pPr>
      <w:r>
        <w:rPr>
          <w:rFonts w:hint="eastAsia"/>
          <w:color w:val="000000"/>
          <w:sz w:val="24"/>
        </w:rPr>
        <w:t>项目名称：</w:t>
      </w:r>
    </w:p>
    <w:p>
      <w:pPr>
        <w:spacing w:line="360" w:lineRule="auto"/>
        <w:rPr>
          <w:color w:val="000000"/>
          <w:sz w:val="24"/>
        </w:rPr>
      </w:pPr>
      <w:r>
        <w:rPr>
          <w:rFonts w:hint="eastAsia"/>
          <w:color w:val="000000"/>
          <w:sz w:val="24"/>
        </w:rPr>
        <w:t>采购编号：</w:t>
      </w:r>
    </w:p>
    <w:p>
      <w:pPr>
        <w:spacing w:line="420" w:lineRule="exact"/>
        <w:rPr>
          <w:b/>
          <w:bCs/>
          <w:color w:val="000000"/>
          <w:sz w:val="24"/>
        </w:rPr>
      </w:pPr>
      <w:r>
        <w:rPr>
          <w:rFonts w:hint="eastAsia"/>
          <w:b/>
          <w:bCs/>
          <w:color w:val="000000"/>
          <w:sz w:val="24"/>
        </w:rPr>
        <w:t>本公司郑重承诺并声明：</w:t>
      </w:r>
    </w:p>
    <w:p>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pPr>
        <w:numPr>
          <w:ilvl w:val="0"/>
          <w:numId w:val="2"/>
        </w:numPr>
        <w:spacing w:line="420" w:lineRule="exact"/>
        <w:rPr>
          <w:color w:val="000000"/>
          <w:sz w:val="24"/>
        </w:rPr>
      </w:pPr>
      <w:r>
        <w:rPr>
          <w:rFonts w:hint="eastAsia"/>
          <w:color w:val="000000"/>
          <w:sz w:val="24"/>
        </w:rPr>
        <w:t>本谈判文件的有效期为谈判截止日后60天有效。</w:t>
      </w:r>
    </w:p>
    <w:p>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pPr>
        <w:numPr>
          <w:ilvl w:val="0"/>
          <w:numId w:val="2"/>
        </w:numPr>
        <w:spacing w:line="420" w:lineRule="exact"/>
        <w:rPr>
          <w:color w:val="000000"/>
          <w:sz w:val="24"/>
        </w:rPr>
      </w:pPr>
      <w:r>
        <w:rPr>
          <w:rFonts w:hint="eastAsia"/>
          <w:color w:val="000000"/>
          <w:sz w:val="24"/>
        </w:rPr>
        <w:t>同意按采购文件规定向贵方缴纳保证金（如有要求缴纳情况下），并按《中标通知书》的要求，如期签订合同并履行其一切责任和义务。</w:t>
      </w:r>
    </w:p>
    <w:p>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pPr>
        <w:tabs>
          <w:tab w:val="left" w:pos="-3780"/>
        </w:tabs>
        <w:spacing w:line="360" w:lineRule="auto"/>
        <w:ind w:firstLine="480" w:firstLineChars="200"/>
        <w:rPr>
          <w:color w:val="000000"/>
          <w:sz w:val="24"/>
        </w:rPr>
      </w:pPr>
    </w:p>
    <w:p>
      <w:pPr>
        <w:tabs>
          <w:tab w:val="left" w:pos="-3780"/>
        </w:tabs>
        <w:spacing w:line="360" w:lineRule="auto"/>
        <w:ind w:firstLine="480" w:firstLineChars="20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pPr>
        <w:tabs>
          <w:tab w:val="left" w:pos="-3780"/>
        </w:tabs>
        <w:spacing w:line="360" w:lineRule="auto"/>
        <w:ind w:firstLine="480" w:firstLineChars="200"/>
        <w:rPr>
          <w:color w:val="000000"/>
          <w:sz w:val="24"/>
          <w:u w:val="single"/>
        </w:rPr>
      </w:pPr>
      <w:r>
        <w:rPr>
          <w:rFonts w:hint="eastAsia"/>
          <w:color w:val="000000"/>
          <w:sz w:val="24"/>
        </w:rPr>
        <w:t>法定代表人或授权代表：</w:t>
      </w:r>
      <w:r>
        <w:rPr>
          <w:rFonts w:hint="eastAsia"/>
          <w:color w:val="000000"/>
          <w:sz w:val="24"/>
          <w:u w:val="single"/>
        </w:rPr>
        <w:t>（亲笔签名）</w:t>
      </w:r>
    </w:p>
    <w:p>
      <w:pPr>
        <w:tabs>
          <w:tab w:val="left" w:pos="-3780"/>
        </w:tabs>
        <w:spacing w:line="360" w:lineRule="auto"/>
        <w:ind w:firstLine="480" w:firstLineChars="200"/>
        <w:rPr>
          <w:color w:val="000000"/>
          <w:sz w:val="24"/>
          <w:u w:val="single"/>
        </w:rPr>
      </w:pPr>
      <w:r>
        <w:rPr>
          <w:rFonts w:hint="eastAsia"/>
          <w:color w:val="000000"/>
          <w:sz w:val="24"/>
        </w:rPr>
        <w:t>通讯地址：邮政编码：</w:t>
      </w:r>
    </w:p>
    <w:p>
      <w:pPr>
        <w:tabs>
          <w:tab w:val="left" w:pos="-3780"/>
        </w:tabs>
        <w:spacing w:line="360" w:lineRule="auto"/>
        <w:ind w:firstLine="480" w:firstLineChars="200"/>
        <w:rPr>
          <w:color w:val="000000"/>
          <w:sz w:val="24"/>
          <w:u w:val="single"/>
        </w:rPr>
      </w:pPr>
      <w:r>
        <w:rPr>
          <w:rFonts w:hint="eastAsia"/>
          <w:color w:val="000000"/>
          <w:sz w:val="24"/>
        </w:rPr>
        <w:t>电话：传真：</w:t>
      </w:r>
    </w:p>
    <w:p>
      <w:pPr>
        <w:tabs>
          <w:tab w:val="left" w:pos="-3780"/>
        </w:tabs>
        <w:spacing w:line="360" w:lineRule="auto"/>
        <w:ind w:firstLine="480" w:firstLineChars="200"/>
        <w:rPr>
          <w:color w:val="000000"/>
          <w:sz w:val="24"/>
        </w:rPr>
      </w:pPr>
      <w:r>
        <w:rPr>
          <w:rFonts w:hint="eastAsia"/>
          <w:color w:val="000000"/>
          <w:sz w:val="24"/>
        </w:rPr>
        <w:t>承诺日期：年月日</w:t>
      </w:r>
    </w:p>
    <w:p>
      <w:pPr>
        <w:tabs>
          <w:tab w:val="left" w:pos="-3780"/>
        </w:tabs>
        <w:spacing w:line="360" w:lineRule="auto"/>
        <w:ind w:firstLine="480" w:firstLineChars="200"/>
        <w:rPr>
          <w:color w:val="000000"/>
          <w:sz w:val="24"/>
        </w:rPr>
      </w:pPr>
    </w:p>
    <w:p>
      <w:pPr>
        <w:tabs>
          <w:tab w:val="left" w:pos="-3780"/>
        </w:tabs>
        <w:spacing w:line="360" w:lineRule="auto"/>
        <w:ind w:firstLine="420" w:firstLineChars="200"/>
        <w:rPr>
          <w:rFonts w:ascii="仿宋_GB2312" w:eastAsia="仿宋_GB2312"/>
        </w:rPr>
      </w:pPr>
      <w:r>
        <w:rPr>
          <w:rFonts w:hint="eastAsia"/>
          <w:color w:val="FF0000"/>
          <w:lang w:val="en-GB"/>
        </w:rPr>
        <w:t>注：本承诺函内容不得擅自修改。</w:t>
      </w:r>
    </w:p>
    <w:p>
      <w:pPr>
        <w:tabs>
          <w:tab w:val="left" w:pos="-3780"/>
        </w:tabs>
        <w:spacing w:line="360" w:lineRule="auto"/>
        <w:ind w:firstLine="420" w:firstLineChars="200"/>
        <w:rPr>
          <w:rFonts w:ascii="仿宋_GB2312" w:eastAsia="仿宋_GB2312"/>
        </w:rPr>
      </w:pPr>
    </w:p>
    <w:p>
      <w:pPr>
        <w:autoSpaceDE w:val="0"/>
        <w:autoSpaceDN w:val="0"/>
        <w:adjustRightInd w:val="0"/>
        <w:jc w:val="center"/>
        <w:rPr>
          <w:rFonts w:ascii="华文新魏" w:hAnsi="MS Sans Serif" w:eastAsia="华文新魏"/>
          <w:b/>
          <w:bCs/>
          <w:kern w:val="0"/>
          <w:sz w:val="48"/>
          <w:szCs w:val="46"/>
        </w:rPr>
      </w:pPr>
      <w:bookmarkStart w:id="10" w:name="_Toc38337722"/>
      <w:bookmarkStart w:id="11" w:name="_Toc49329276"/>
      <w:bookmarkStart w:id="12" w:name="_Toc119321166"/>
      <w:r>
        <w:rPr>
          <w:rFonts w:hint="eastAsia" w:ascii="宋体" w:hAnsi="MS Sans Serif"/>
          <w:b/>
          <w:bCs/>
          <w:kern w:val="0"/>
          <w:sz w:val="46"/>
          <w:szCs w:val="46"/>
        </w:rPr>
        <w:br w:type="page"/>
      </w:r>
      <w:r>
        <w:rPr>
          <w:rFonts w:hint="eastAsia" w:ascii="华文新魏" w:hAnsi="MS Sans Serif" w:eastAsia="华文新魏"/>
          <w:b/>
          <w:bCs/>
          <w:kern w:val="0"/>
          <w:sz w:val="48"/>
          <w:szCs w:val="46"/>
        </w:rPr>
        <w:t>文件袋封</w:t>
      </w:r>
      <w:bookmarkEnd w:id="10"/>
      <w:r>
        <w:rPr>
          <w:rFonts w:hint="eastAsia" w:ascii="华文新魏" w:hAnsi="MS Sans Serif" w:eastAsia="华文新魏"/>
          <w:b/>
          <w:bCs/>
          <w:kern w:val="0"/>
          <w:sz w:val="48"/>
          <w:szCs w:val="46"/>
        </w:rPr>
        <w:t>面</w:t>
      </w:r>
      <w:bookmarkEnd w:id="11"/>
      <w:r>
        <w:rPr>
          <w:rFonts w:hint="eastAsia" w:ascii="华文新魏" w:hAnsi="MS Sans Serif" w:eastAsia="华文新魏"/>
          <w:b/>
          <w:bCs/>
          <w:kern w:val="0"/>
          <w:sz w:val="48"/>
          <w:szCs w:val="46"/>
        </w:rPr>
        <w:t>格式</w:t>
      </w:r>
      <w:bookmarkEnd w:id="12"/>
    </w:p>
    <w:p>
      <w:pPr>
        <w:spacing w:line="360" w:lineRule="auto"/>
        <w:rPr>
          <w:color w:val="000000"/>
          <w:sz w:val="24"/>
          <w:lang w:val="en-GB"/>
        </w:rPr>
      </w:pPr>
    </w:p>
    <w:tbl>
      <w:tblPr>
        <w:tblStyle w:val="16"/>
        <w:tblW w:w="0" w:type="auto"/>
        <w:jc w:val="center"/>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CFFDCF"/>
        <w:tblLayout w:type="fixed"/>
        <w:tblCellMar>
          <w:top w:w="0" w:type="dxa"/>
          <w:left w:w="108" w:type="dxa"/>
          <w:bottom w:w="0" w:type="dxa"/>
          <w:right w:w="108" w:type="dxa"/>
        </w:tblCellMar>
      </w:tblPr>
      <w:tblGrid>
        <w:gridCol w:w="8522"/>
      </w:tblGrid>
      <w:tr>
        <w:tblPrEx>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CFFDCF"/>
          <w:tblCellMar>
            <w:top w:w="0" w:type="dxa"/>
            <w:left w:w="108" w:type="dxa"/>
            <w:bottom w:w="0" w:type="dxa"/>
            <w:right w:w="108" w:type="dxa"/>
          </w:tblCellMar>
        </w:tblPrEx>
        <w:trPr>
          <w:trHeight w:val="4290" w:hRule="atLeast"/>
          <w:jc w:val="center"/>
        </w:trPr>
        <w:tc>
          <w:tcPr>
            <w:tcW w:w="8522" w:type="dxa"/>
            <w:shd w:val="clear" w:color="auto" w:fill="CFFDCF"/>
          </w:tcPr>
          <w:p>
            <w:pPr>
              <w:snapToGrid w:val="0"/>
              <w:jc w:val="center"/>
              <w:rPr>
                <w:b/>
                <w:color w:val="000000"/>
                <w:sz w:val="30"/>
              </w:rPr>
            </w:pPr>
          </w:p>
          <w:p>
            <w:pPr>
              <w:jc w:val="center"/>
              <w:rPr>
                <w:rFonts w:ascii="隶书" w:hAnsi="宋体" w:eastAsia="隶书"/>
                <w:b/>
                <w:bCs/>
                <w:color w:val="000000"/>
                <w:sz w:val="48"/>
              </w:rPr>
            </w:pPr>
            <w:bookmarkStart w:id="13" w:name="_Toc108234932"/>
            <w:r>
              <w:rPr>
                <w:rFonts w:hint="eastAsia" w:ascii="隶书" w:hAnsi="宋体" w:eastAsia="隶书"/>
                <w:b/>
                <w:bCs/>
                <w:color w:val="000000"/>
                <w:sz w:val="48"/>
              </w:rPr>
              <w:t>谈判文件</w:t>
            </w:r>
            <w:bookmarkEnd w:id="13"/>
          </w:p>
          <w:p>
            <w:pPr>
              <w:jc w:val="center"/>
              <w:rPr>
                <w:rFonts w:ascii="黑体" w:eastAsia="黑体"/>
                <w:b/>
                <w:color w:val="000000"/>
                <w:sz w:val="28"/>
              </w:rPr>
            </w:pPr>
            <w:r>
              <w:rPr>
                <w:rFonts w:hint="eastAsia" w:ascii="黑体" w:eastAsia="黑体"/>
                <w:b/>
                <w:bCs/>
                <w:color w:val="000000"/>
                <w:sz w:val="28"/>
                <w:lang w:val="en-GB"/>
              </w:rPr>
              <w:t>内容：</w:t>
            </w:r>
            <w:r>
              <w:rPr>
                <w:rFonts w:hint="eastAsia" w:ascii="黑体" w:eastAsia="黑体"/>
                <w:b/>
                <w:bCs/>
                <w:color w:val="000000"/>
                <w:sz w:val="28"/>
              </w:rPr>
              <w:t>正、副本文件</w:t>
            </w:r>
          </w:p>
          <w:p>
            <w:pPr>
              <w:jc w:val="center"/>
              <w:rPr>
                <w:b/>
                <w:color w:val="000000"/>
                <w:sz w:val="32"/>
              </w:rPr>
            </w:pPr>
          </w:p>
          <w:p>
            <w:pPr>
              <w:spacing w:line="360" w:lineRule="auto"/>
              <w:ind w:left="176" w:leftChars="84" w:firstLine="960" w:firstLineChars="400"/>
              <w:rPr>
                <w:color w:val="000000"/>
                <w:sz w:val="24"/>
                <w:u w:val="single"/>
              </w:rPr>
            </w:pPr>
            <w:r>
              <w:rPr>
                <w:rFonts w:hint="eastAsia"/>
                <w:color w:val="000000"/>
                <w:sz w:val="24"/>
              </w:rPr>
              <w:t>谈判人：</w:t>
            </w:r>
          </w:p>
          <w:p>
            <w:pPr>
              <w:spacing w:line="360" w:lineRule="auto"/>
              <w:ind w:left="176" w:leftChars="84" w:firstLine="960" w:firstLineChars="400"/>
              <w:rPr>
                <w:color w:val="000000"/>
                <w:sz w:val="24"/>
                <w:u w:val="single"/>
              </w:rPr>
            </w:pPr>
          </w:p>
          <w:p>
            <w:pPr>
              <w:spacing w:line="360" w:lineRule="auto"/>
              <w:ind w:left="176" w:leftChars="84" w:firstLine="960" w:firstLineChars="400"/>
              <w:rPr>
                <w:color w:val="000000"/>
                <w:sz w:val="24"/>
              </w:rPr>
            </w:pPr>
          </w:p>
          <w:p>
            <w:pPr>
              <w:spacing w:line="360" w:lineRule="auto"/>
              <w:ind w:left="176" w:leftChars="84" w:firstLine="960" w:firstLineChars="400"/>
              <w:rPr>
                <w:color w:val="000000"/>
                <w:sz w:val="24"/>
                <w:u w:val="single"/>
              </w:rPr>
            </w:pPr>
            <w:r>
              <w:rPr>
                <w:rFonts w:hint="eastAsia"/>
                <w:color w:val="000000"/>
                <w:sz w:val="24"/>
              </w:rPr>
              <w:t>采购编号：</w:t>
            </w:r>
          </w:p>
          <w:p>
            <w:pPr>
              <w:spacing w:line="360" w:lineRule="auto"/>
              <w:ind w:left="176" w:leftChars="84" w:firstLine="960" w:firstLineChars="400"/>
              <w:rPr>
                <w:color w:val="000000"/>
                <w:sz w:val="24"/>
                <w:u w:val="single"/>
              </w:rPr>
            </w:pPr>
          </w:p>
          <w:p>
            <w:pPr>
              <w:spacing w:line="360" w:lineRule="auto"/>
              <w:ind w:left="176" w:leftChars="84" w:firstLine="960" w:firstLineChars="400"/>
              <w:rPr>
                <w:color w:val="000000"/>
                <w:sz w:val="24"/>
              </w:rPr>
            </w:pPr>
          </w:p>
          <w:p>
            <w:pPr>
              <w:spacing w:line="360" w:lineRule="auto"/>
              <w:ind w:left="176" w:leftChars="84" w:firstLine="960" w:firstLineChars="400"/>
              <w:rPr>
                <w:color w:val="000000"/>
                <w:sz w:val="24"/>
                <w:u w:val="single"/>
              </w:rPr>
            </w:pPr>
            <w:r>
              <w:rPr>
                <w:rFonts w:hint="eastAsia"/>
                <w:color w:val="000000"/>
                <w:sz w:val="24"/>
              </w:rPr>
              <w:t>项目名称：</w:t>
            </w:r>
          </w:p>
          <w:p>
            <w:pPr>
              <w:spacing w:line="360" w:lineRule="auto"/>
              <w:ind w:left="176" w:leftChars="84" w:firstLine="960" w:firstLineChars="400"/>
              <w:rPr>
                <w:color w:val="000000"/>
                <w:sz w:val="24"/>
                <w:u w:val="single"/>
              </w:rPr>
            </w:pPr>
          </w:p>
          <w:p>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pPr>
              <w:jc w:val="center"/>
              <w:rPr>
                <w:b/>
                <w:bCs/>
                <w:color w:val="000000"/>
              </w:rPr>
            </w:pPr>
          </w:p>
          <w:p>
            <w:pPr>
              <w:jc w:val="center"/>
              <w:rPr>
                <w:color w:val="000000"/>
              </w:rPr>
            </w:pPr>
            <w:r>
              <w:rPr>
                <w:rFonts w:hint="eastAsia"/>
                <w:b/>
                <w:bCs/>
                <w:color w:val="000000"/>
              </w:rPr>
              <w:t>递交地点：</w:t>
            </w:r>
            <w:r>
              <w:rPr>
                <w:rFonts w:hint="eastAsia"/>
                <w:color w:val="000000"/>
              </w:rPr>
              <w:t>深圳大学总医院教学楼一楼招投标管理办公室1</w:t>
            </w:r>
            <w:r>
              <w:rPr>
                <w:color w:val="000000"/>
              </w:rPr>
              <w:t>04</w:t>
            </w:r>
            <w:r>
              <w:rPr>
                <w:rFonts w:hint="eastAsia"/>
                <w:color w:val="000000"/>
              </w:rPr>
              <w:t>室</w:t>
            </w:r>
          </w:p>
          <w:p>
            <w:pPr>
              <w:jc w:val="center"/>
              <w:rPr>
                <w:color w:val="000000"/>
              </w:rPr>
            </w:pPr>
          </w:p>
        </w:tc>
      </w:tr>
    </w:tbl>
    <w:p>
      <w:pPr>
        <w:spacing w:line="360" w:lineRule="auto"/>
        <w:rPr>
          <w:color w:val="000000"/>
          <w:sz w:val="24"/>
        </w:rPr>
      </w:pPr>
    </w:p>
    <w:p>
      <w:pPr>
        <w:spacing w:line="360" w:lineRule="auto"/>
        <w:ind w:firstLine="480" w:firstLineChars="200"/>
        <w:rPr>
          <w:color w:val="000000"/>
          <w:sz w:val="24"/>
        </w:rPr>
      </w:pPr>
    </w:p>
    <w:p>
      <w:pPr>
        <w:spacing w:line="360" w:lineRule="auto"/>
        <w:ind w:firstLine="480" w:firstLineChars="200"/>
        <w:rPr>
          <w:color w:val="000000"/>
          <w:sz w:val="24"/>
          <w:lang w:val="en-GB"/>
        </w:rPr>
      </w:pPr>
    </w:p>
    <w:p>
      <w:pPr>
        <w:spacing w:line="360" w:lineRule="auto"/>
        <w:ind w:firstLine="480" w:firstLineChars="200"/>
        <w:rPr>
          <w:color w:val="000000"/>
          <w:sz w:val="24"/>
          <w:lang w:val="en-GB"/>
        </w:rPr>
      </w:pPr>
    </w:p>
    <w:p>
      <w:pPr>
        <w:spacing w:line="360" w:lineRule="auto"/>
        <w:ind w:firstLine="482" w:firstLineChars="200"/>
        <w:rPr>
          <w:b/>
          <w:bCs/>
          <w:color w:val="FF0000"/>
          <w:sz w:val="24"/>
          <w:lang w:val="en-GB"/>
        </w:rPr>
      </w:pPr>
      <w:r>
        <w:rPr>
          <w:rFonts w:hint="eastAsia"/>
          <w:b/>
          <w:bCs/>
          <w:color w:val="FF0000"/>
          <w:sz w:val="24"/>
          <w:lang w:val="en-GB"/>
        </w:rPr>
        <w:t>重要提示：</w:t>
      </w:r>
    </w:p>
    <w:p>
      <w:pPr>
        <w:tabs>
          <w:tab w:val="left" w:pos="1200"/>
        </w:tabs>
        <w:spacing w:line="360" w:lineRule="auto"/>
        <w:ind w:left="840"/>
        <w:rPr>
          <w:color w:val="FF0000"/>
          <w:sz w:val="24"/>
        </w:rPr>
      </w:pPr>
      <w:r>
        <w:rPr>
          <w:rFonts w:hint="eastAsia"/>
          <w:color w:val="FF0000"/>
          <w:sz w:val="24"/>
        </w:rPr>
        <w:t>1.正、副本必须合并封装并标贴此封面，封口处加盖公章。</w:t>
      </w:r>
    </w:p>
    <w:p>
      <w:pPr>
        <w:tabs>
          <w:tab w:val="left" w:pos="1200"/>
        </w:tabs>
        <w:spacing w:line="360" w:lineRule="auto"/>
        <w:ind w:left="840"/>
        <w:rPr>
          <w:color w:val="FF0000"/>
          <w:sz w:val="24"/>
        </w:rPr>
      </w:pPr>
      <w:r>
        <w:rPr>
          <w:rFonts w:hint="eastAsia"/>
          <w:color w:val="FF0000"/>
          <w:sz w:val="24"/>
        </w:rPr>
        <w:t>2.开标报价内容正本与副本必须一致，否则，以正本开标报价为准。</w:t>
      </w:r>
    </w:p>
    <w:p>
      <w:pPr>
        <w:tabs>
          <w:tab w:val="left" w:pos="1200"/>
        </w:tabs>
        <w:spacing w:line="360" w:lineRule="auto"/>
        <w:ind w:left="840"/>
        <w:rPr>
          <w:lang w:val="en-GB"/>
        </w:rPr>
      </w:pPr>
      <w:r>
        <w:rPr>
          <w:rFonts w:hint="eastAsia"/>
          <w:color w:val="FF0000"/>
          <w:sz w:val="24"/>
        </w:rPr>
        <w:t>3.递交投标文件时务请提早到达！</w:t>
      </w:r>
    </w:p>
    <w:p>
      <w:pPr>
        <w:rPr>
          <w:lang w:val="en-GB"/>
        </w:rPr>
      </w:pPr>
    </w:p>
    <w:p/>
    <w:p>
      <w:pPr>
        <w:spacing w:before="156" w:beforeLines="50"/>
        <w:jc w:val="left"/>
        <w:rPr>
          <w:rFonts w:ascii="宋体" w:hAnsi="宋体"/>
          <w:b/>
          <w:color w:val="000000"/>
          <w:sz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华文新魏">
    <w:panose1 w:val="02010800040101010101"/>
    <w:charset w:val="86"/>
    <w:family w:val="auto"/>
    <w:pitch w:val="default"/>
    <w:sig w:usb0="00000001" w:usb1="080F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MS Sans Serif">
    <w:altName w:val="Arial"/>
    <w:panose1 w:val="020B0500000000000000"/>
    <w:charset w:val="00"/>
    <w:family w:val="swiss"/>
    <w:pitch w:val="default"/>
    <w:sig w:usb0="00000000" w:usb1="00000000" w:usb2="00000000" w:usb3="00000000" w:csb0="00000001" w:csb1="00000000"/>
  </w:font>
  <w:font w:name="方正姚体">
    <w:panose1 w:val="02010601030101010101"/>
    <w:charset w:val="86"/>
    <w:family w:val="auto"/>
    <w:pitch w:val="default"/>
    <w:sig w:usb0="00000003"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Style w:val="19"/>
        <w:rFonts w:hint="eastAsia"/>
      </w:rPr>
      <w:t>　　　　　　　　　　　　　　　　　　　　　　</w:t>
    </w:r>
    <w:r>
      <w:fldChar w:fldCharType="begin"/>
    </w:r>
    <w:r>
      <w:rPr>
        <w:rStyle w:val="19"/>
      </w:rPr>
      <w:instrText xml:space="preserve"> PAGE  \* Arabic  \* MERGEFORMAT </w:instrText>
    </w:r>
    <w:r>
      <w:fldChar w:fldCharType="separate"/>
    </w:r>
    <w:r>
      <w:rPr>
        <w:rStyle w:val="19"/>
      </w:rPr>
      <w:t>16</w:t>
    </w:r>
    <w:r>
      <w:fldChar w:fldCharType="end"/>
    </w:r>
    <w:r>
      <w:rPr>
        <w:rStyle w:val="19"/>
      </w:rPr>
      <w:t xml:space="preserve"> / </w:t>
    </w:r>
    <w:r>
      <w:fldChar w:fldCharType="begin"/>
    </w:r>
    <w:r>
      <w:instrText xml:space="preserve"> NUMPAGES  \* Arabic  \* MERGEFORMAT </w:instrText>
    </w:r>
    <w:r>
      <w:fldChar w:fldCharType="separate"/>
    </w:r>
    <w:r>
      <w:rPr>
        <w:rStyle w:val="19"/>
      </w:rPr>
      <w:t>16</w:t>
    </w:r>
    <w:r>
      <w:rPr>
        <w:rStyle w:val="1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9"/>
      </w:rPr>
    </w:pPr>
    <w:r>
      <w:fldChar w:fldCharType="begin"/>
    </w:r>
    <w:r>
      <w:rPr>
        <w:rStyle w:val="19"/>
      </w:rPr>
      <w:instrText xml:space="preserve">PAGE  </w:instrText>
    </w:r>
    <w: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pPr>
    <w:r>
      <w:rPr>
        <w:rFonts w:hint="eastAsia"/>
      </w:rPr>
      <w:t>深圳大学总医院招投标管理办公室招标文件　　　　　　　　　　　 采购编号：SUGHCG2022014HC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5"/>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31D4BC5"/>
    <w:multiLevelType w:val="multilevel"/>
    <w:tmpl w:val="531D4BC5"/>
    <w:lvl w:ilvl="0" w:tentative="0">
      <w:start w:val="1"/>
      <w:numFmt w:val="japaneseCounting"/>
      <w:lvlText w:val="%1、"/>
      <w:lvlJc w:val="left"/>
      <w:pPr>
        <w:ind w:left="510" w:hanging="510"/>
      </w:pPr>
      <w:rPr>
        <w:rFonts w:hint="default"/>
        <w:color w:val="00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E1YzMzOTQ1MWYwN2Q5YjA0NGJlNDI1Y2YxNjM1NGQifQ=="/>
  </w:docVars>
  <w:rsids>
    <w:rsidRoot w:val="00E314D3"/>
    <w:rsid w:val="000075EA"/>
    <w:rsid w:val="00012903"/>
    <w:rsid w:val="00014F9A"/>
    <w:rsid w:val="00020BF6"/>
    <w:rsid w:val="00024985"/>
    <w:rsid w:val="0002613A"/>
    <w:rsid w:val="000317A1"/>
    <w:rsid w:val="00036099"/>
    <w:rsid w:val="00043C86"/>
    <w:rsid w:val="0005772A"/>
    <w:rsid w:val="00063DA0"/>
    <w:rsid w:val="00064306"/>
    <w:rsid w:val="00064D37"/>
    <w:rsid w:val="00072967"/>
    <w:rsid w:val="000825C1"/>
    <w:rsid w:val="00085AB4"/>
    <w:rsid w:val="000944CC"/>
    <w:rsid w:val="000961A0"/>
    <w:rsid w:val="00097C0C"/>
    <w:rsid w:val="000B0A40"/>
    <w:rsid w:val="000B19C1"/>
    <w:rsid w:val="000B2874"/>
    <w:rsid w:val="000C544D"/>
    <w:rsid w:val="000C5E52"/>
    <w:rsid w:val="000D178B"/>
    <w:rsid w:val="000E0696"/>
    <w:rsid w:val="000E31CC"/>
    <w:rsid w:val="000E463F"/>
    <w:rsid w:val="000E7288"/>
    <w:rsid w:val="000F71A7"/>
    <w:rsid w:val="0010182C"/>
    <w:rsid w:val="001033CD"/>
    <w:rsid w:val="00105AF0"/>
    <w:rsid w:val="00106A92"/>
    <w:rsid w:val="00110D04"/>
    <w:rsid w:val="00112103"/>
    <w:rsid w:val="001127B2"/>
    <w:rsid w:val="00120D1E"/>
    <w:rsid w:val="00122123"/>
    <w:rsid w:val="00124001"/>
    <w:rsid w:val="00125897"/>
    <w:rsid w:val="001259DD"/>
    <w:rsid w:val="00126A28"/>
    <w:rsid w:val="00130784"/>
    <w:rsid w:val="00133C9D"/>
    <w:rsid w:val="00135DB1"/>
    <w:rsid w:val="001411A8"/>
    <w:rsid w:val="0014452A"/>
    <w:rsid w:val="00146CF9"/>
    <w:rsid w:val="00157628"/>
    <w:rsid w:val="00160816"/>
    <w:rsid w:val="00165BC6"/>
    <w:rsid w:val="00170BB8"/>
    <w:rsid w:val="001713A2"/>
    <w:rsid w:val="00173CBA"/>
    <w:rsid w:val="00173FC1"/>
    <w:rsid w:val="00177723"/>
    <w:rsid w:val="001777DA"/>
    <w:rsid w:val="00181F21"/>
    <w:rsid w:val="001820F3"/>
    <w:rsid w:val="001866F1"/>
    <w:rsid w:val="001913F7"/>
    <w:rsid w:val="00192EB4"/>
    <w:rsid w:val="001A43C4"/>
    <w:rsid w:val="001B43C3"/>
    <w:rsid w:val="001C0009"/>
    <w:rsid w:val="001C2EE5"/>
    <w:rsid w:val="001C641C"/>
    <w:rsid w:val="001D429F"/>
    <w:rsid w:val="001E428B"/>
    <w:rsid w:val="001E562B"/>
    <w:rsid w:val="001E7E12"/>
    <w:rsid w:val="001F02D2"/>
    <w:rsid w:val="001F2261"/>
    <w:rsid w:val="001F3D39"/>
    <w:rsid w:val="00203FF2"/>
    <w:rsid w:val="00205045"/>
    <w:rsid w:val="0020542B"/>
    <w:rsid w:val="0020702D"/>
    <w:rsid w:val="002138FA"/>
    <w:rsid w:val="0021645F"/>
    <w:rsid w:val="00232433"/>
    <w:rsid w:val="00232A1A"/>
    <w:rsid w:val="002346EE"/>
    <w:rsid w:val="00235AB8"/>
    <w:rsid w:val="00254ABF"/>
    <w:rsid w:val="00281C04"/>
    <w:rsid w:val="002857EE"/>
    <w:rsid w:val="0029051A"/>
    <w:rsid w:val="00292789"/>
    <w:rsid w:val="00294397"/>
    <w:rsid w:val="002B01DB"/>
    <w:rsid w:val="002C0C63"/>
    <w:rsid w:val="002C5873"/>
    <w:rsid w:val="002C5FC2"/>
    <w:rsid w:val="002C62CB"/>
    <w:rsid w:val="002C6F15"/>
    <w:rsid w:val="002D0495"/>
    <w:rsid w:val="002D32DB"/>
    <w:rsid w:val="002D7C1D"/>
    <w:rsid w:val="002E00A8"/>
    <w:rsid w:val="002E27DA"/>
    <w:rsid w:val="002E59BE"/>
    <w:rsid w:val="002E68AF"/>
    <w:rsid w:val="002E7EA1"/>
    <w:rsid w:val="002F46C6"/>
    <w:rsid w:val="002F79A5"/>
    <w:rsid w:val="00300721"/>
    <w:rsid w:val="00300CA4"/>
    <w:rsid w:val="003161A0"/>
    <w:rsid w:val="0031639E"/>
    <w:rsid w:val="003215C3"/>
    <w:rsid w:val="00321F01"/>
    <w:rsid w:val="003230F2"/>
    <w:rsid w:val="00323461"/>
    <w:rsid w:val="00330834"/>
    <w:rsid w:val="00332302"/>
    <w:rsid w:val="00332604"/>
    <w:rsid w:val="00334AF9"/>
    <w:rsid w:val="00341B1F"/>
    <w:rsid w:val="00346803"/>
    <w:rsid w:val="00350F70"/>
    <w:rsid w:val="00350FDA"/>
    <w:rsid w:val="00352811"/>
    <w:rsid w:val="00355351"/>
    <w:rsid w:val="00356A70"/>
    <w:rsid w:val="00363498"/>
    <w:rsid w:val="0037157A"/>
    <w:rsid w:val="003804A8"/>
    <w:rsid w:val="00383796"/>
    <w:rsid w:val="00384CA4"/>
    <w:rsid w:val="003A13DA"/>
    <w:rsid w:val="003C03DA"/>
    <w:rsid w:val="003C4FF3"/>
    <w:rsid w:val="003D66A3"/>
    <w:rsid w:val="003D73B1"/>
    <w:rsid w:val="003D7730"/>
    <w:rsid w:val="003F23C7"/>
    <w:rsid w:val="003F4392"/>
    <w:rsid w:val="003F59E1"/>
    <w:rsid w:val="004020B6"/>
    <w:rsid w:val="004072ED"/>
    <w:rsid w:val="00414F13"/>
    <w:rsid w:val="00415C00"/>
    <w:rsid w:val="004249AD"/>
    <w:rsid w:val="0042508D"/>
    <w:rsid w:val="00425868"/>
    <w:rsid w:val="004260F6"/>
    <w:rsid w:val="004276D4"/>
    <w:rsid w:val="00432CE3"/>
    <w:rsid w:val="00433468"/>
    <w:rsid w:val="0043478A"/>
    <w:rsid w:val="00435C6B"/>
    <w:rsid w:val="0044102A"/>
    <w:rsid w:val="0044128A"/>
    <w:rsid w:val="00442856"/>
    <w:rsid w:val="00443A66"/>
    <w:rsid w:val="004474E5"/>
    <w:rsid w:val="00450BAA"/>
    <w:rsid w:val="00454C45"/>
    <w:rsid w:val="00455F9D"/>
    <w:rsid w:val="00457064"/>
    <w:rsid w:val="00457524"/>
    <w:rsid w:val="004606BA"/>
    <w:rsid w:val="004615A2"/>
    <w:rsid w:val="0046167F"/>
    <w:rsid w:val="00471419"/>
    <w:rsid w:val="00471A6E"/>
    <w:rsid w:val="00472726"/>
    <w:rsid w:val="00473944"/>
    <w:rsid w:val="00476425"/>
    <w:rsid w:val="00485872"/>
    <w:rsid w:val="004906E9"/>
    <w:rsid w:val="00491C90"/>
    <w:rsid w:val="0049363B"/>
    <w:rsid w:val="00494FEC"/>
    <w:rsid w:val="004A1C2B"/>
    <w:rsid w:val="004B05B4"/>
    <w:rsid w:val="004B0B26"/>
    <w:rsid w:val="004B10CB"/>
    <w:rsid w:val="004B25EC"/>
    <w:rsid w:val="004B32A0"/>
    <w:rsid w:val="004C175E"/>
    <w:rsid w:val="004C235E"/>
    <w:rsid w:val="004C7564"/>
    <w:rsid w:val="004D4E91"/>
    <w:rsid w:val="004D4F38"/>
    <w:rsid w:val="004D7CEE"/>
    <w:rsid w:val="004E31C1"/>
    <w:rsid w:val="004E461A"/>
    <w:rsid w:val="004E7473"/>
    <w:rsid w:val="004F0BBF"/>
    <w:rsid w:val="004F567B"/>
    <w:rsid w:val="005011CB"/>
    <w:rsid w:val="0050333E"/>
    <w:rsid w:val="005039EA"/>
    <w:rsid w:val="005071AB"/>
    <w:rsid w:val="00510421"/>
    <w:rsid w:val="00511D8E"/>
    <w:rsid w:val="005212D3"/>
    <w:rsid w:val="005255E3"/>
    <w:rsid w:val="00530333"/>
    <w:rsid w:val="005336C4"/>
    <w:rsid w:val="00534BB1"/>
    <w:rsid w:val="00536C18"/>
    <w:rsid w:val="00536C19"/>
    <w:rsid w:val="00536C5E"/>
    <w:rsid w:val="0054104F"/>
    <w:rsid w:val="00553362"/>
    <w:rsid w:val="00553E46"/>
    <w:rsid w:val="005713E1"/>
    <w:rsid w:val="005731EC"/>
    <w:rsid w:val="00575819"/>
    <w:rsid w:val="00580825"/>
    <w:rsid w:val="00580848"/>
    <w:rsid w:val="00580AC6"/>
    <w:rsid w:val="005825A1"/>
    <w:rsid w:val="005860DE"/>
    <w:rsid w:val="00586CD8"/>
    <w:rsid w:val="005A1224"/>
    <w:rsid w:val="005A45BD"/>
    <w:rsid w:val="005A7E8E"/>
    <w:rsid w:val="005B3F2B"/>
    <w:rsid w:val="005B58E1"/>
    <w:rsid w:val="005B6649"/>
    <w:rsid w:val="005C056A"/>
    <w:rsid w:val="005C33F1"/>
    <w:rsid w:val="005C4D41"/>
    <w:rsid w:val="005C5D5B"/>
    <w:rsid w:val="005C61B2"/>
    <w:rsid w:val="005C6ECF"/>
    <w:rsid w:val="005E33DD"/>
    <w:rsid w:val="005E3EB1"/>
    <w:rsid w:val="005E4BA8"/>
    <w:rsid w:val="005E6EF0"/>
    <w:rsid w:val="005E77BA"/>
    <w:rsid w:val="005F2F38"/>
    <w:rsid w:val="005F5B6F"/>
    <w:rsid w:val="005F7372"/>
    <w:rsid w:val="006053DC"/>
    <w:rsid w:val="0060597F"/>
    <w:rsid w:val="00606EA0"/>
    <w:rsid w:val="00611944"/>
    <w:rsid w:val="00626262"/>
    <w:rsid w:val="0062646B"/>
    <w:rsid w:val="006329F6"/>
    <w:rsid w:val="006346C7"/>
    <w:rsid w:val="006363A1"/>
    <w:rsid w:val="0064167F"/>
    <w:rsid w:val="00641BC8"/>
    <w:rsid w:val="00643709"/>
    <w:rsid w:val="006520E7"/>
    <w:rsid w:val="00655EB9"/>
    <w:rsid w:val="00657308"/>
    <w:rsid w:val="00663002"/>
    <w:rsid w:val="006649D4"/>
    <w:rsid w:val="006702E0"/>
    <w:rsid w:val="00675526"/>
    <w:rsid w:val="00676080"/>
    <w:rsid w:val="00682110"/>
    <w:rsid w:val="006862F7"/>
    <w:rsid w:val="00690FD0"/>
    <w:rsid w:val="006934B9"/>
    <w:rsid w:val="00696266"/>
    <w:rsid w:val="006C1FD8"/>
    <w:rsid w:val="006C2C68"/>
    <w:rsid w:val="006C3E9A"/>
    <w:rsid w:val="006D2240"/>
    <w:rsid w:val="006D7122"/>
    <w:rsid w:val="006E27D7"/>
    <w:rsid w:val="006E416D"/>
    <w:rsid w:val="006E5DEA"/>
    <w:rsid w:val="006F11B3"/>
    <w:rsid w:val="006F5E44"/>
    <w:rsid w:val="006F6EB4"/>
    <w:rsid w:val="00702DBB"/>
    <w:rsid w:val="00704EA8"/>
    <w:rsid w:val="00712347"/>
    <w:rsid w:val="00712946"/>
    <w:rsid w:val="00713F6E"/>
    <w:rsid w:val="00714EA6"/>
    <w:rsid w:val="00715D2B"/>
    <w:rsid w:val="0071738C"/>
    <w:rsid w:val="00717AF0"/>
    <w:rsid w:val="00721484"/>
    <w:rsid w:val="00722C0D"/>
    <w:rsid w:val="00723284"/>
    <w:rsid w:val="007251B2"/>
    <w:rsid w:val="00726026"/>
    <w:rsid w:val="0072662F"/>
    <w:rsid w:val="00730D96"/>
    <w:rsid w:val="00734001"/>
    <w:rsid w:val="0073576F"/>
    <w:rsid w:val="00745D6D"/>
    <w:rsid w:val="007607DB"/>
    <w:rsid w:val="0077435E"/>
    <w:rsid w:val="00776699"/>
    <w:rsid w:val="00780EC8"/>
    <w:rsid w:val="00784B25"/>
    <w:rsid w:val="00786FC6"/>
    <w:rsid w:val="0078705F"/>
    <w:rsid w:val="00787207"/>
    <w:rsid w:val="007932E1"/>
    <w:rsid w:val="00793EBB"/>
    <w:rsid w:val="007B11A3"/>
    <w:rsid w:val="007B1317"/>
    <w:rsid w:val="007B3125"/>
    <w:rsid w:val="007B5AAD"/>
    <w:rsid w:val="007B6FDF"/>
    <w:rsid w:val="007B743A"/>
    <w:rsid w:val="007B7D95"/>
    <w:rsid w:val="007C642A"/>
    <w:rsid w:val="007C7271"/>
    <w:rsid w:val="007D0CF2"/>
    <w:rsid w:val="007E283D"/>
    <w:rsid w:val="007E4AE3"/>
    <w:rsid w:val="007E5F17"/>
    <w:rsid w:val="007E63DA"/>
    <w:rsid w:val="007F0A81"/>
    <w:rsid w:val="007F2759"/>
    <w:rsid w:val="007F6E36"/>
    <w:rsid w:val="00802E9B"/>
    <w:rsid w:val="00813181"/>
    <w:rsid w:val="00815923"/>
    <w:rsid w:val="00817AD7"/>
    <w:rsid w:val="00823D72"/>
    <w:rsid w:val="00834499"/>
    <w:rsid w:val="00843D58"/>
    <w:rsid w:val="00844927"/>
    <w:rsid w:val="00845620"/>
    <w:rsid w:val="00847967"/>
    <w:rsid w:val="00852C70"/>
    <w:rsid w:val="008557C5"/>
    <w:rsid w:val="00862253"/>
    <w:rsid w:val="00867B8E"/>
    <w:rsid w:val="00872277"/>
    <w:rsid w:val="008901C7"/>
    <w:rsid w:val="008921BC"/>
    <w:rsid w:val="00892C04"/>
    <w:rsid w:val="00897CF0"/>
    <w:rsid w:val="008A00EA"/>
    <w:rsid w:val="008A109B"/>
    <w:rsid w:val="008A1E0A"/>
    <w:rsid w:val="008A43E0"/>
    <w:rsid w:val="008B3BC1"/>
    <w:rsid w:val="008B5526"/>
    <w:rsid w:val="008C407F"/>
    <w:rsid w:val="008C46AA"/>
    <w:rsid w:val="008C74CF"/>
    <w:rsid w:val="008D2C44"/>
    <w:rsid w:val="008D3C99"/>
    <w:rsid w:val="008D4BD0"/>
    <w:rsid w:val="008E2E9C"/>
    <w:rsid w:val="008E30C3"/>
    <w:rsid w:val="008E7A66"/>
    <w:rsid w:val="008F7624"/>
    <w:rsid w:val="00905FA0"/>
    <w:rsid w:val="009071C8"/>
    <w:rsid w:val="00910838"/>
    <w:rsid w:val="00917C5B"/>
    <w:rsid w:val="00925CC1"/>
    <w:rsid w:val="00930D01"/>
    <w:rsid w:val="00936E54"/>
    <w:rsid w:val="00942070"/>
    <w:rsid w:val="0094502C"/>
    <w:rsid w:val="00947458"/>
    <w:rsid w:val="00951CB3"/>
    <w:rsid w:val="009523F9"/>
    <w:rsid w:val="0095276A"/>
    <w:rsid w:val="009530EF"/>
    <w:rsid w:val="009532C7"/>
    <w:rsid w:val="009561F7"/>
    <w:rsid w:val="009563A9"/>
    <w:rsid w:val="00963924"/>
    <w:rsid w:val="0097499C"/>
    <w:rsid w:val="00974B6B"/>
    <w:rsid w:val="00974D94"/>
    <w:rsid w:val="0098203D"/>
    <w:rsid w:val="009847D8"/>
    <w:rsid w:val="00996FC4"/>
    <w:rsid w:val="00997295"/>
    <w:rsid w:val="00997629"/>
    <w:rsid w:val="009A26A8"/>
    <w:rsid w:val="009A49FB"/>
    <w:rsid w:val="009A61F7"/>
    <w:rsid w:val="009B20EA"/>
    <w:rsid w:val="009B506E"/>
    <w:rsid w:val="009B6DC7"/>
    <w:rsid w:val="009C0335"/>
    <w:rsid w:val="009C210F"/>
    <w:rsid w:val="009C7844"/>
    <w:rsid w:val="009D04A4"/>
    <w:rsid w:val="009D3084"/>
    <w:rsid w:val="009D7A3E"/>
    <w:rsid w:val="009E37BC"/>
    <w:rsid w:val="009E6D47"/>
    <w:rsid w:val="009E79FA"/>
    <w:rsid w:val="009E7A8F"/>
    <w:rsid w:val="009F3160"/>
    <w:rsid w:val="00A0155D"/>
    <w:rsid w:val="00A055BE"/>
    <w:rsid w:val="00A10A69"/>
    <w:rsid w:val="00A12A60"/>
    <w:rsid w:val="00A16A14"/>
    <w:rsid w:val="00A20840"/>
    <w:rsid w:val="00A20BF3"/>
    <w:rsid w:val="00A2510D"/>
    <w:rsid w:val="00A273C4"/>
    <w:rsid w:val="00A32A1F"/>
    <w:rsid w:val="00A33A25"/>
    <w:rsid w:val="00A33C10"/>
    <w:rsid w:val="00A368B7"/>
    <w:rsid w:val="00A36E6B"/>
    <w:rsid w:val="00A40CFD"/>
    <w:rsid w:val="00A43BDD"/>
    <w:rsid w:val="00A43DB6"/>
    <w:rsid w:val="00A45B3B"/>
    <w:rsid w:val="00A45B55"/>
    <w:rsid w:val="00A55E76"/>
    <w:rsid w:val="00A61627"/>
    <w:rsid w:val="00A64B00"/>
    <w:rsid w:val="00A64EC7"/>
    <w:rsid w:val="00A706E0"/>
    <w:rsid w:val="00A7165A"/>
    <w:rsid w:val="00A72DA9"/>
    <w:rsid w:val="00A7307D"/>
    <w:rsid w:val="00A7320B"/>
    <w:rsid w:val="00A76F70"/>
    <w:rsid w:val="00A7759D"/>
    <w:rsid w:val="00A8016B"/>
    <w:rsid w:val="00A81F1C"/>
    <w:rsid w:val="00A856D4"/>
    <w:rsid w:val="00A87641"/>
    <w:rsid w:val="00A87AD0"/>
    <w:rsid w:val="00A908C5"/>
    <w:rsid w:val="00A91AEE"/>
    <w:rsid w:val="00AA0AD1"/>
    <w:rsid w:val="00AA5F54"/>
    <w:rsid w:val="00AB327B"/>
    <w:rsid w:val="00AB3E13"/>
    <w:rsid w:val="00AB443D"/>
    <w:rsid w:val="00AB7B8E"/>
    <w:rsid w:val="00AD391C"/>
    <w:rsid w:val="00AD5A96"/>
    <w:rsid w:val="00AE18ED"/>
    <w:rsid w:val="00AE2A14"/>
    <w:rsid w:val="00AE2F27"/>
    <w:rsid w:val="00AE7D40"/>
    <w:rsid w:val="00AF1795"/>
    <w:rsid w:val="00B068CE"/>
    <w:rsid w:val="00B100DC"/>
    <w:rsid w:val="00B16249"/>
    <w:rsid w:val="00B201FD"/>
    <w:rsid w:val="00B21653"/>
    <w:rsid w:val="00B23E35"/>
    <w:rsid w:val="00B33131"/>
    <w:rsid w:val="00B343BA"/>
    <w:rsid w:val="00B34CB3"/>
    <w:rsid w:val="00B40C67"/>
    <w:rsid w:val="00B51C2B"/>
    <w:rsid w:val="00B5297C"/>
    <w:rsid w:val="00B52BAF"/>
    <w:rsid w:val="00B53A9F"/>
    <w:rsid w:val="00B55E13"/>
    <w:rsid w:val="00B61001"/>
    <w:rsid w:val="00B62A50"/>
    <w:rsid w:val="00B62C61"/>
    <w:rsid w:val="00B631EA"/>
    <w:rsid w:val="00B64476"/>
    <w:rsid w:val="00B66244"/>
    <w:rsid w:val="00B74960"/>
    <w:rsid w:val="00B74F9C"/>
    <w:rsid w:val="00B75D8E"/>
    <w:rsid w:val="00B76B52"/>
    <w:rsid w:val="00B7764A"/>
    <w:rsid w:val="00B80F9A"/>
    <w:rsid w:val="00B832C7"/>
    <w:rsid w:val="00B84518"/>
    <w:rsid w:val="00B906B5"/>
    <w:rsid w:val="00BA0638"/>
    <w:rsid w:val="00BA224C"/>
    <w:rsid w:val="00BA58D3"/>
    <w:rsid w:val="00BB3A05"/>
    <w:rsid w:val="00BB3C9C"/>
    <w:rsid w:val="00BB782F"/>
    <w:rsid w:val="00BC2194"/>
    <w:rsid w:val="00BC7A03"/>
    <w:rsid w:val="00BC7F52"/>
    <w:rsid w:val="00BD5DB8"/>
    <w:rsid w:val="00BE1003"/>
    <w:rsid w:val="00BE423F"/>
    <w:rsid w:val="00BE47B4"/>
    <w:rsid w:val="00BE4E1E"/>
    <w:rsid w:val="00BF1073"/>
    <w:rsid w:val="00BF2B8B"/>
    <w:rsid w:val="00BF6A70"/>
    <w:rsid w:val="00C00E86"/>
    <w:rsid w:val="00C0433A"/>
    <w:rsid w:val="00C06C09"/>
    <w:rsid w:val="00C15356"/>
    <w:rsid w:val="00C15E97"/>
    <w:rsid w:val="00C172B6"/>
    <w:rsid w:val="00C17F63"/>
    <w:rsid w:val="00C24251"/>
    <w:rsid w:val="00C2461D"/>
    <w:rsid w:val="00C2771B"/>
    <w:rsid w:val="00C31F32"/>
    <w:rsid w:val="00C36920"/>
    <w:rsid w:val="00C36F1C"/>
    <w:rsid w:val="00C37007"/>
    <w:rsid w:val="00C40240"/>
    <w:rsid w:val="00C43329"/>
    <w:rsid w:val="00C43456"/>
    <w:rsid w:val="00C44565"/>
    <w:rsid w:val="00C44576"/>
    <w:rsid w:val="00C50B9B"/>
    <w:rsid w:val="00C521F6"/>
    <w:rsid w:val="00C57B4F"/>
    <w:rsid w:val="00C615B2"/>
    <w:rsid w:val="00C75589"/>
    <w:rsid w:val="00C76B14"/>
    <w:rsid w:val="00C83E81"/>
    <w:rsid w:val="00C84F0C"/>
    <w:rsid w:val="00C94714"/>
    <w:rsid w:val="00CA2889"/>
    <w:rsid w:val="00CA2CA3"/>
    <w:rsid w:val="00CA4C16"/>
    <w:rsid w:val="00CB0CB2"/>
    <w:rsid w:val="00CB4493"/>
    <w:rsid w:val="00CB61D7"/>
    <w:rsid w:val="00CB6B86"/>
    <w:rsid w:val="00CC3BEA"/>
    <w:rsid w:val="00CC699C"/>
    <w:rsid w:val="00CD4F42"/>
    <w:rsid w:val="00CE0B5C"/>
    <w:rsid w:val="00CE2BE5"/>
    <w:rsid w:val="00CE2CA9"/>
    <w:rsid w:val="00CE5258"/>
    <w:rsid w:val="00CE6059"/>
    <w:rsid w:val="00CE76FA"/>
    <w:rsid w:val="00CE7EE8"/>
    <w:rsid w:val="00CF3E72"/>
    <w:rsid w:val="00D00E55"/>
    <w:rsid w:val="00D03689"/>
    <w:rsid w:val="00D06D40"/>
    <w:rsid w:val="00D1072C"/>
    <w:rsid w:val="00D16552"/>
    <w:rsid w:val="00D23794"/>
    <w:rsid w:val="00D31271"/>
    <w:rsid w:val="00D34848"/>
    <w:rsid w:val="00D35E95"/>
    <w:rsid w:val="00D407CA"/>
    <w:rsid w:val="00D46C57"/>
    <w:rsid w:val="00D56626"/>
    <w:rsid w:val="00D5690F"/>
    <w:rsid w:val="00D63251"/>
    <w:rsid w:val="00D637BE"/>
    <w:rsid w:val="00D63E4B"/>
    <w:rsid w:val="00D63FFC"/>
    <w:rsid w:val="00D72F35"/>
    <w:rsid w:val="00D75C16"/>
    <w:rsid w:val="00D802F8"/>
    <w:rsid w:val="00D82030"/>
    <w:rsid w:val="00D84104"/>
    <w:rsid w:val="00D85F2B"/>
    <w:rsid w:val="00D908AE"/>
    <w:rsid w:val="00D91907"/>
    <w:rsid w:val="00D92A47"/>
    <w:rsid w:val="00D97B33"/>
    <w:rsid w:val="00DA0C1C"/>
    <w:rsid w:val="00DB184C"/>
    <w:rsid w:val="00DB3388"/>
    <w:rsid w:val="00DB6C99"/>
    <w:rsid w:val="00DC1B64"/>
    <w:rsid w:val="00DD09E6"/>
    <w:rsid w:val="00DD6037"/>
    <w:rsid w:val="00DE5802"/>
    <w:rsid w:val="00DE6BB1"/>
    <w:rsid w:val="00DF257B"/>
    <w:rsid w:val="00DF68DC"/>
    <w:rsid w:val="00DF69CD"/>
    <w:rsid w:val="00E001A5"/>
    <w:rsid w:val="00E0550D"/>
    <w:rsid w:val="00E070BA"/>
    <w:rsid w:val="00E0769D"/>
    <w:rsid w:val="00E16044"/>
    <w:rsid w:val="00E1634A"/>
    <w:rsid w:val="00E2035C"/>
    <w:rsid w:val="00E21994"/>
    <w:rsid w:val="00E2583D"/>
    <w:rsid w:val="00E3047E"/>
    <w:rsid w:val="00E314D3"/>
    <w:rsid w:val="00E35436"/>
    <w:rsid w:val="00E53CB8"/>
    <w:rsid w:val="00E53F34"/>
    <w:rsid w:val="00E56E81"/>
    <w:rsid w:val="00E62E22"/>
    <w:rsid w:val="00E70037"/>
    <w:rsid w:val="00E739EA"/>
    <w:rsid w:val="00E762A2"/>
    <w:rsid w:val="00E868BC"/>
    <w:rsid w:val="00E93F03"/>
    <w:rsid w:val="00E9504E"/>
    <w:rsid w:val="00E9784C"/>
    <w:rsid w:val="00EA78D7"/>
    <w:rsid w:val="00EB404D"/>
    <w:rsid w:val="00EC1000"/>
    <w:rsid w:val="00EC333E"/>
    <w:rsid w:val="00EC54C1"/>
    <w:rsid w:val="00ED7F53"/>
    <w:rsid w:val="00EE2019"/>
    <w:rsid w:val="00EE248F"/>
    <w:rsid w:val="00EF2A7C"/>
    <w:rsid w:val="00EF678A"/>
    <w:rsid w:val="00F021B1"/>
    <w:rsid w:val="00F02683"/>
    <w:rsid w:val="00F0658F"/>
    <w:rsid w:val="00F0731C"/>
    <w:rsid w:val="00F11B64"/>
    <w:rsid w:val="00F233B9"/>
    <w:rsid w:val="00F2431E"/>
    <w:rsid w:val="00F25A60"/>
    <w:rsid w:val="00F31988"/>
    <w:rsid w:val="00F362D7"/>
    <w:rsid w:val="00F454FB"/>
    <w:rsid w:val="00F462B6"/>
    <w:rsid w:val="00F531AB"/>
    <w:rsid w:val="00F53EA2"/>
    <w:rsid w:val="00F5493F"/>
    <w:rsid w:val="00F57B4A"/>
    <w:rsid w:val="00F6146A"/>
    <w:rsid w:val="00F64AB5"/>
    <w:rsid w:val="00F74347"/>
    <w:rsid w:val="00F80E56"/>
    <w:rsid w:val="00F846D9"/>
    <w:rsid w:val="00F85AB2"/>
    <w:rsid w:val="00F86334"/>
    <w:rsid w:val="00F93560"/>
    <w:rsid w:val="00F9531D"/>
    <w:rsid w:val="00F967BE"/>
    <w:rsid w:val="00F97BA6"/>
    <w:rsid w:val="00F97D28"/>
    <w:rsid w:val="00F97DE0"/>
    <w:rsid w:val="00FA04F4"/>
    <w:rsid w:val="00FA70F9"/>
    <w:rsid w:val="00FB0EB0"/>
    <w:rsid w:val="00FB3CDA"/>
    <w:rsid w:val="00FB6F57"/>
    <w:rsid w:val="00FC1B97"/>
    <w:rsid w:val="00FC1C28"/>
    <w:rsid w:val="00FC21F6"/>
    <w:rsid w:val="00FC3A20"/>
    <w:rsid w:val="00FD0870"/>
    <w:rsid w:val="00FD24D4"/>
    <w:rsid w:val="00FD5161"/>
    <w:rsid w:val="00FD709E"/>
    <w:rsid w:val="00FE247F"/>
    <w:rsid w:val="00FE62A1"/>
    <w:rsid w:val="00FF2B99"/>
    <w:rsid w:val="00FF3FD0"/>
    <w:rsid w:val="00FF7EDA"/>
    <w:rsid w:val="12363E30"/>
    <w:rsid w:val="128752CD"/>
    <w:rsid w:val="35556FF3"/>
    <w:rsid w:val="384049FB"/>
    <w:rsid w:val="69701C8D"/>
    <w:rsid w:val="71AB3CA2"/>
    <w:rsid w:val="755E0C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47"/>
    <w:qFormat/>
    <w:uiPriority w:val="0"/>
    <w:pPr>
      <w:keepNext/>
      <w:keepLines/>
      <w:spacing w:before="340" w:after="330" w:line="576" w:lineRule="auto"/>
      <w:outlineLvl w:val="0"/>
    </w:pPr>
    <w:rPr>
      <w:rFonts w:ascii="Times New Roman" w:hAnsi="Times New Roman"/>
      <w:b/>
      <w:kern w:val="44"/>
      <w:sz w:val="44"/>
      <w:szCs w:val="24"/>
    </w:rPr>
  </w:style>
  <w:style w:type="paragraph" w:styleId="3">
    <w:name w:val="heading 2"/>
    <w:basedOn w:val="1"/>
    <w:next w:val="1"/>
    <w:link w:val="48"/>
    <w:qFormat/>
    <w:uiPriority w:val="0"/>
    <w:pPr>
      <w:adjustRightInd w:val="0"/>
      <w:jc w:val="center"/>
      <w:textAlignment w:val="baseline"/>
      <w:outlineLvl w:val="1"/>
    </w:pPr>
    <w:rPr>
      <w:rFonts w:ascii="Times New Roman" w:hAnsi="Times New Roman"/>
      <w:kern w:val="0"/>
      <w:sz w:val="24"/>
      <w:szCs w:val="20"/>
    </w:rPr>
  </w:style>
  <w:style w:type="paragraph" w:styleId="4">
    <w:name w:val="heading 3"/>
    <w:basedOn w:val="1"/>
    <w:next w:val="1"/>
    <w:link w:val="23"/>
    <w:qFormat/>
    <w:uiPriority w:val="0"/>
    <w:pPr>
      <w:keepNext/>
      <w:keepLines/>
      <w:spacing w:before="260" w:after="260" w:line="416" w:lineRule="auto"/>
      <w:outlineLvl w:val="2"/>
    </w:pPr>
    <w:rPr>
      <w:rFonts w:ascii="Times New Roman" w:hAnsi="Times New Roman"/>
      <w:b/>
      <w:bCs/>
      <w:kern w:val="0"/>
      <w:sz w:val="28"/>
      <w:szCs w:val="32"/>
    </w:rPr>
  </w:style>
  <w:style w:type="paragraph" w:styleId="5">
    <w:name w:val="heading 4"/>
    <w:basedOn w:val="1"/>
    <w:next w:val="1"/>
    <w:link w:val="24"/>
    <w:qFormat/>
    <w:uiPriority w:val="9"/>
    <w:pPr>
      <w:keepNext/>
      <w:keepLines/>
      <w:spacing w:before="280" w:after="290" w:line="376" w:lineRule="auto"/>
      <w:outlineLvl w:val="3"/>
    </w:pPr>
    <w:rPr>
      <w:rFonts w:ascii="Cambria" w:hAnsi="Cambria"/>
      <w:b/>
      <w:bCs/>
      <w:kern w:val="0"/>
      <w:sz w:val="28"/>
      <w:szCs w:val="28"/>
    </w:rPr>
  </w:style>
  <w:style w:type="character" w:default="1" w:styleId="18">
    <w:name w:val="Default Paragraph Font"/>
    <w:semiHidden/>
    <w:unhideWhenUsed/>
    <w:qFormat/>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szCs w:val="20"/>
    </w:rPr>
  </w:style>
  <w:style w:type="paragraph" w:styleId="7">
    <w:name w:val="Document Map"/>
    <w:basedOn w:val="1"/>
    <w:link w:val="53"/>
    <w:qFormat/>
    <w:uiPriority w:val="0"/>
    <w:rPr>
      <w:rFonts w:ascii="宋体"/>
      <w:sz w:val="18"/>
      <w:szCs w:val="18"/>
    </w:rPr>
  </w:style>
  <w:style w:type="paragraph" w:styleId="8">
    <w:name w:val="annotation text"/>
    <w:basedOn w:val="1"/>
    <w:link w:val="32"/>
    <w:unhideWhenUsed/>
    <w:qFormat/>
    <w:uiPriority w:val="0"/>
    <w:pPr>
      <w:jc w:val="left"/>
    </w:pPr>
  </w:style>
  <w:style w:type="paragraph" w:styleId="9">
    <w:name w:val="Plain Text"/>
    <w:basedOn w:val="1"/>
    <w:link w:val="44"/>
    <w:qFormat/>
    <w:uiPriority w:val="99"/>
    <w:rPr>
      <w:rFonts w:ascii="宋体" w:hAnsi="Courier New" w:cs="Courier New"/>
      <w:szCs w:val="21"/>
    </w:rPr>
  </w:style>
  <w:style w:type="paragraph" w:styleId="10">
    <w:name w:val="Balloon Text"/>
    <w:basedOn w:val="1"/>
    <w:link w:val="28"/>
    <w:qFormat/>
    <w:uiPriority w:val="99"/>
    <w:rPr>
      <w:kern w:val="0"/>
      <w:sz w:val="18"/>
      <w:szCs w:val="18"/>
    </w:rPr>
  </w:style>
  <w:style w:type="paragraph" w:styleId="11">
    <w:name w:val="footer"/>
    <w:basedOn w:val="1"/>
    <w:link w:val="26"/>
    <w:qFormat/>
    <w:uiPriority w:val="0"/>
    <w:pPr>
      <w:tabs>
        <w:tab w:val="center" w:pos="4153"/>
        <w:tab w:val="right" w:pos="8306"/>
      </w:tabs>
      <w:snapToGrid w:val="0"/>
      <w:jc w:val="left"/>
    </w:pPr>
    <w:rPr>
      <w:rFonts w:ascii="Times New Roman" w:hAnsi="Times New Roman"/>
      <w:kern w:val="0"/>
      <w:sz w:val="18"/>
      <w:szCs w:val="18"/>
    </w:rPr>
  </w:style>
  <w:style w:type="paragraph" w:styleId="12">
    <w:name w:val="header"/>
    <w:basedOn w:val="1"/>
    <w:link w:val="29"/>
    <w:qFormat/>
    <w:uiPriority w:val="0"/>
    <w:pPr>
      <w:pBdr>
        <w:bottom w:val="single" w:color="auto" w:sz="6" w:space="1"/>
      </w:pBdr>
      <w:tabs>
        <w:tab w:val="center" w:pos="4153"/>
        <w:tab w:val="right" w:pos="8306"/>
      </w:tabs>
      <w:snapToGrid w:val="0"/>
      <w:jc w:val="center"/>
    </w:pPr>
    <w:rPr>
      <w:kern w:val="0"/>
      <w:sz w:val="18"/>
      <w:szCs w:val="18"/>
    </w:rPr>
  </w:style>
  <w:style w:type="paragraph" w:styleId="13">
    <w:name w:val="HTML Preformatted"/>
    <w:basedOn w:val="1"/>
    <w:link w:val="5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4">
    <w:name w:val="Normal (Web)"/>
    <w:basedOn w:val="1"/>
    <w:qFormat/>
    <w:uiPriority w:val="0"/>
    <w:pPr>
      <w:spacing w:before="100" w:beforeAutospacing="1" w:after="100" w:afterAutospacing="1"/>
      <w:jc w:val="left"/>
    </w:pPr>
    <w:rPr>
      <w:rFonts w:ascii="Times New Roman" w:hAnsi="Times New Roman"/>
      <w:kern w:val="0"/>
      <w:sz w:val="24"/>
      <w:szCs w:val="24"/>
    </w:rPr>
  </w:style>
  <w:style w:type="paragraph" w:styleId="15">
    <w:name w:val="annotation subject"/>
    <w:basedOn w:val="8"/>
    <w:next w:val="8"/>
    <w:link w:val="33"/>
    <w:unhideWhenUsed/>
    <w:qFormat/>
    <w:uiPriority w:val="0"/>
    <w:rPr>
      <w:b/>
      <w:bCs/>
    </w:rPr>
  </w:style>
  <w:style w:type="table" w:styleId="17">
    <w:name w:val="Table Grid"/>
    <w:basedOn w:val="16"/>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0"/>
  </w:style>
  <w:style w:type="character" w:styleId="20">
    <w:name w:val="FollowedHyperlink"/>
    <w:basedOn w:val="18"/>
    <w:semiHidden/>
    <w:unhideWhenUsed/>
    <w:qFormat/>
    <w:uiPriority w:val="99"/>
    <w:rPr>
      <w:color w:val="800080"/>
      <w:u w:val="single"/>
    </w:rPr>
  </w:style>
  <w:style w:type="character" w:styleId="21">
    <w:name w:val="Hyperlink"/>
    <w:basedOn w:val="18"/>
    <w:qFormat/>
    <w:uiPriority w:val="99"/>
    <w:rPr>
      <w:color w:val="0000FF" w:themeColor="hyperlink"/>
      <w:u w:val="single"/>
      <w14:textFill>
        <w14:solidFill>
          <w14:schemeClr w14:val="hlink"/>
        </w14:solidFill>
      </w14:textFill>
    </w:rPr>
  </w:style>
  <w:style w:type="character" w:styleId="22">
    <w:name w:val="annotation reference"/>
    <w:basedOn w:val="18"/>
    <w:unhideWhenUsed/>
    <w:qFormat/>
    <w:uiPriority w:val="0"/>
    <w:rPr>
      <w:sz w:val="21"/>
      <w:szCs w:val="21"/>
    </w:rPr>
  </w:style>
  <w:style w:type="character" w:customStyle="1" w:styleId="23">
    <w:name w:val="标题 3 字符"/>
    <w:link w:val="4"/>
    <w:qFormat/>
    <w:uiPriority w:val="0"/>
    <w:rPr>
      <w:rFonts w:ascii="Times New Roman" w:hAnsi="Times New Roman" w:eastAsia="宋体" w:cs="Times New Roman"/>
      <w:b/>
      <w:bCs/>
      <w:sz w:val="28"/>
      <w:szCs w:val="32"/>
    </w:rPr>
  </w:style>
  <w:style w:type="character" w:customStyle="1" w:styleId="24">
    <w:name w:val="标题 4 字符"/>
    <w:link w:val="5"/>
    <w:qFormat/>
    <w:uiPriority w:val="9"/>
    <w:rPr>
      <w:rFonts w:ascii="Cambria" w:hAnsi="Cambria" w:eastAsia="宋体" w:cs="Times New Roman"/>
      <w:b/>
      <w:bCs/>
      <w:sz w:val="28"/>
      <w:szCs w:val="28"/>
    </w:rPr>
  </w:style>
  <w:style w:type="character" w:customStyle="1" w:styleId="25">
    <w:name w:val="标题 3 Char"/>
    <w:qFormat/>
    <w:uiPriority w:val="9"/>
    <w:rPr>
      <w:b/>
      <w:bCs/>
      <w:sz w:val="32"/>
      <w:szCs w:val="32"/>
    </w:rPr>
  </w:style>
  <w:style w:type="character" w:customStyle="1" w:styleId="26">
    <w:name w:val="页脚 字符"/>
    <w:link w:val="11"/>
    <w:qFormat/>
    <w:uiPriority w:val="0"/>
    <w:rPr>
      <w:rFonts w:ascii="Times New Roman" w:hAnsi="Times New Roman" w:eastAsia="宋体" w:cs="Times New Roman"/>
      <w:sz w:val="18"/>
      <w:szCs w:val="18"/>
    </w:rPr>
  </w:style>
  <w:style w:type="character" w:customStyle="1" w:styleId="27">
    <w:name w:val="font01"/>
    <w:qFormat/>
    <w:uiPriority w:val="0"/>
    <w:rPr>
      <w:rFonts w:hint="eastAsia" w:ascii="宋体" w:hAnsi="宋体" w:eastAsia="宋体" w:cs="宋体"/>
      <w:color w:val="000000"/>
      <w:sz w:val="22"/>
      <w:szCs w:val="22"/>
      <w:u w:val="none"/>
    </w:rPr>
  </w:style>
  <w:style w:type="character" w:customStyle="1" w:styleId="28">
    <w:name w:val="批注框文本 字符"/>
    <w:link w:val="10"/>
    <w:qFormat/>
    <w:uiPriority w:val="99"/>
    <w:rPr>
      <w:sz w:val="18"/>
      <w:szCs w:val="18"/>
    </w:rPr>
  </w:style>
  <w:style w:type="character" w:customStyle="1" w:styleId="29">
    <w:name w:val="页眉 字符"/>
    <w:link w:val="12"/>
    <w:qFormat/>
    <w:uiPriority w:val="0"/>
    <w:rPr>
      <w:sz w:val="18"/>
      <w:szCs w:val="18"/>
    </w:rPr>
  </w:style>
  <w:style w:type="paragraph" w:customStyle="1" w:styleId="30">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31">
    <w:name w:val="正文-自定义"/>
    <w:basedOn w:val="1"/>
    <w:qFormat/>
    <w:uiPriority w:val="0"/>
    <w:pPr>
      <w:spacing w:before="100" w:beforeAutospacing="1" w:after="100" w:afterAutospacing="1" w:line="360" w:lineRule="auto"/>
      <w:ind w:firstLine="200" w:firstLineChars="200"/>
    </w:pPr>
    <w:rPr>
      <w:rFonts w:ascii="Times New Roman" w:hAnsi="Times New Roman"/>
      <w:sz w:val="24"/>
      <w:szCs w:val="24"/>
    </w:rPr>
  </w:style>
  <w:style w:type="character" w:customStyle="1" w:styleId="32">
    <w:name w:val="批注文字 字符"/>
    <w:basedOn w:val="18"/>
    <w:link w:val="8"/>
    <w:semiHidden/>
    <w:qFormat/>
    <w:uiPriority w:val="0"/>
    <w:rPr>
      <w:kern w:val="2"/>
      <w:sz w:val="21"/>
      <w:szCs w:val="22"/>
    </w:rPr>
  </w:style>
  <w:style w:type="character" w:customStyle="1" w:styleId="33">
    <w:name w:val="批注主题 字符"/>
    <w:basedOn w:val="32"/>
    <w:link w:val="15"/>
    <w:semiHidden/>
    <w:uiPriority w:val="0"/>
    <w:rPr>
      <w:b/>
      <w:bCs/>
      <w:kern w:val="2"/>
      <w:sz w:val="21"/>
      <w:szCs w:val="22"/>
    </w:rPr>
  </w:style>
  <w:style w:type="paragraph" w:styleId="34">
    <w:name w:val="List Paragraph"/>
    <w:basedOn w:val="1"/>
    <w:qFormat/>
    <w:uiPriority w:val="99"/>
    <w:pPr>
      <w:ind w:firstLine="420" w:firstLineChars="200"/>
    </w:pPr>
  </w:style>
  <w:style w:type="paragraph" w:customStyle="1" w:styleId="35">
    <w:name w:val="font0"/>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36">
    <w:name w:val="font1"/>
    <w:basedOn w:val="1"/>
    <w:uiPriority w:val="0"/>
    <w:pPr>
      <w:widowControl/>
      <w:spacing w:before="100" w:beforeAutospacing="1" w:after="100" w:afterAutospacing="1"/>
      <w:jc w:val="left"/>
    </w:pPr>
    <w:rPr>
      <w:rFonts w:ascii="宋体" w:hAnsi="宋体" w:cs="宋体"/>
      <w:color w:val="000000"/>
      <w:kern w:val="0"/>
      <w:sz w:val="22"/>
    </w:rPr>
  </w:style>
  <w:style w:type="paragraph" w:customStyle="1" w:styleId="37">
    <w:name w:val="font5"/>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38">
    <w:name w:val="font6"/>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39">
    <w:name w:val="font7"/>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40">
    <w:name w:val="xl7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rPr>
  </w:style>
  <w:style w:type="paragraph" w:customStyle="1" w:styleId="41">
    <w:name w:val="xl7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szCs w:val="24"/>
    </w:rPr>
  </w:style>
  <w:style w:type="paragraph" w:customStyle="1" w:styleId="42">
    <w:name w:val="xl7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3">
    <w:name w:val="xl7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character" w:customStyle="1" w:styleId="44">
    <w:name w:val="纯文本 字符"/>
    <w:basedOn w:val="18"/>
    <w:link w:val="9"/>
    <w:uiPriority w:val="99"/>
    <w:rPr>
      <w:rFonts w:ascii="宋体" w:hAnsi="Courier New" w:cs="Courier New"/>
      <w:kern w:val="2"/>
      <w:sz w:val="21"/>
      <w:szCs w:val="21"/>
    </w:rPr>
  </w:style>
  <w:style w:type="character" w:customStyle="1" w:styleId="45">
    <w:name w:val="标题 1 字符"/>
    <w:basedOn w:val="18"/>
    <w:uiPriority w:val="0"/>
    <w:rPr>
      <w:b/>
      <w:bCs/>
      <w:kern w:val="44"/>
      <w:sz w:val="44"/>
      <w:szCs w:val="44"/>
    </w:rPr>
  </w:style>
  <w:style w:type="character" w:customStyle="1" w:styleId="46">
    <w:name w:val="标题 2 字符"/>
    <w:basedOn w:val="18"/>
    <w:semiHidden/>
    <w:uiPriority w:val="0"/>
    <w:rPr>
      <w:rFonts w:asciiTheme="majorHAnsi" w:hAnsiTheme="majorHAnsi" w:eastAsiaTheme="majorEastAsia" w:cstheme="majorBidi"/>
      <w:b/>
      <w:bCs/>
      <w:kern w:val="2"/>
      <w:sz w:val="32"/>
      <w:szCs w:val="32"/>
    </w:rPr>
  </w:style>
  <w:style w:type="character" w:customStyle="1" w:styleId="47">
    <w:name w:val="标题 1 字符1"/>
    <w:link w:val="2"/>
    <w:qFormat/>
    <w:uiPriority w:val="0"/>
    <w:rPr>
      <w:rFonts w:ascii="Times New Roman" w:hAnsi="Times New Roman"/>
      <w:b/>
      <w:kern w:val="44"/>
      <w:sz w:val="44"/>
      <w:szCs w:val="24"/>
    </w:rPr>
  </w:style>
  <w:style w:type="character" w:customStyle="1" w:styleId="48">
    <w:name w:val="标题 2 字符1"/>
    <w:link w:val="3"/>
    <w:qFormat/>
    <w:uiPriority w:val="0"/>
    <w:rPr>
      <w:rFonts w:ascii="Times New Roman" w:hAnsi="Times New Roman"/>
      <w:sz w:val="24"/>
    </w:rPr>
  </w:style>
  <w:style w:type="character" w:customStyle="1" w:styleId="49">
    <w:name w:val="标题 4 Char"/>
    <w:qFormat/>
    <w:uiPriority w:val="0"/>
    <w:rPr>
      <w:rFonts w:ascii="Arial" w:hAnsi="Arial" w:eastAsia="黑体"/>
      <w:b/>
      <w:bCs/>
      <w:kern w:val="2"/>
      <w:sz w:val="28"/>
      <w:szCs w:val="28"/>
    </w:rPr>
  </w:style>
  <w:style w:type="character" w:customStyle="1" w:styleId="50">
    <w:name w:val="HTML 预设格式 字符1"/>
    <w:link w:val="13"/>
    <w:uiPriority w:val="0"/>
    <w:rPr>
      <w:rFonts w:ascii="宋体" w:hAnsi="宋体" w:cs="宋体"/>
      <w:sz w:val="24"/>
      <w:szCs w:val="24"/>
    </w:rPr>
  </w:style>
  <w:style w:type="character" w:customStyle="1" w:styleId="51">
    <w:name w:val="HTML 预设格式 字符"/>
    <w:basedOn w:val="18"/>
    <w:semiHidden/>
    <w:uiPriority w:val="0"/>
    <w:rPr>
      <w:rFonts w:ascii="Courier New" w:hAnsi="Courier New" w:cs="Courier New"/>
      <w:kern w:val="2"/>
    </w:rPr>
  </w:style>
  <w:style w:type="character" w:customStyle="1" w:styleId="52">
    <w:name w:val="页眉 Char"/>
    <w:qFormat/>
    <w:uiPriority w:val="0"/>
    <w:rPr>
      <w:kern w:val="2"/>
      <w:sz w:val="18"/>
      <w:szCs w:val="24"/>
    </w:rPr>
  </w:style>
  <w:style w:type="character" w:customStyle="1" w:styleId="53">
    <w:name w:val="文档结构图 字符1"/>
    <w:link w:val="7"/>
    <w:qFormat/>
    <w:uiPriority w:val="0"/>
    <w:rPr>
      <w:rFonts w:ascii="宋体"/>
      <w:kern w:val="2"/>
      <w:sz w:val="18"/>
      <w:szCs w:val="18"/>
    </w:rPr>
  </w:style>
  <w:style w:type="character" w:customStyle="1" w:styleId="54">
    <w:name w:val="文档结构图 字符"/>
    <w:basedOn w:val="18"/>
    <w:semiHidden/>
    <w:uiPriority w:val="0"/>
    <w:rPr>
      <w:rFonts w:ascii="Microsoft YaHei UI" w:eastAsia="Microsoft YaHei UI"/>
      <w:kern w:val="2"/>
      <w:sz w:val="18"/>
      <w:szCs w:val="18"/>
    </w:rPr>
  </w:style>
  <w:style w:type="character" w:customStyle="1" w:styleId="55">
    <w:name w:val="批注文字 Char"/>
    <w:semiHidden/>
    <w:qFormat/>
    <w:uiPriority w:val="0"/>
    <w:rPr>
      <w:kern w:val="2"/>
      <w:sz w:val="21"/>
      <w:szCs w:val="24"/>
    </w:rPr>
  </w:style>
  <w:style w:type="character" w:customStyle="1" w:styleId="56">
    <w:name w:val="批注框文本 Char"/>
    <w:semiHidden/>
    <w:qFormat/>
    <w:uiPriority w:val="0"/>
    <w:rPr>
      <w:kern w:val="2"/>
      <w:sz w:val="18"/>
      <w:szCs w:val="18"/>
    </w:rPr>
  </w:style>
  <w:style w:type="character" w:customStyle="1" w:styleId="57">
    <w:name w:val="页眉 Char1"/>
    <w:qFormat/>
    <w:locked/>
    <w:uiPriority w:val="0"/>
    <w:rPr>
      <w:kern w:val="2"/>
      <w:sz w:val="18"/>
      <w:szCs w:val="24"/>
    </w:rPr>
  </w:style>
  <w:style w:type="character" w:customStyle="1" w:styleId="58">
    <w:name w:val="批注文字 Char1"/>
    <w:semiHidden/>
    <w:qFormat/>
    <w:uiPriority w:val="0"/>
    <w:rPr>
      <w:kern w:val="2"/>
      <w:sz w:val="21"/>
      <w:szCs w:val="24"/>
    </w:rPr>
  </w:style>
  <w:style w:type="character" w:customStyle="1" w:styleId="59">
    <w:name w:val="纯文本 Char"/>
    <w:qFormat/>
    <w:uiPriority w:val="0"/>
    <w:rPr>
      <w:rFonts w:ascii="宋体" w:hAnsi="Courier New" w:cs="Courier New"/>
      <w:kern w:val="2"/>
      <w:sz w:val="21"/>
      <w:szCs w:val="21"/>
    </w:rPr>
  </w:style>
  <w:style w:type="character" w:customStyle="1" w:styleId="60">
    <w:name w:val="页脚 Char"/>
    <w:qFormat/>
    <w:uiPriority w:val="0"/>
    <w:rPr>
      <w:kern w:val="2"/>
      <w:sz w:val="18"/>
      <w:szCs w:val="24"/>
    </w:rPr>
  </w:style>
  <w:style w:type="character" w:customStyle="1" w:styleId="61">
    <w:name w:val="批注主题 Char"/>
    <w:qFormat/>
    <w:uiPriority w:val="0"/>
    <w:rPr>
      <w:b/>
      <w:bCs/>
      <w:kern w:val="2"/>
      <w:sz w:val="21"/>
      <w:szCs w:val="24"/>
    </w:rPr>
  </w:style>
  <w:style w:type="paragraph" w:customStyle="1" w:styleId="62">
    <w:name w:val="_Style 3"/>
    <w:basedOn w:val="1"/>
    <w:qFormat/>
    <w:uiPriority w:val="0"/>
    <w:pPr>
      <w:widowControl/>
      <w:spacing w:after="160" w:line="240" w:lineRule="exact"/>
      <w:jc w:val="left"/>
    </w:pPr>
    <w:rPr>
      <w:rFonts w:ascii="Verdana" w:hAnsi="Verdana"/>
      <w:kern w:val="0"/>
      <w:sz w:val="20"/>
      <w:szCs w:val="20"/>
      <w:lang w:eastAsia="en-US"/>
    </w:rPr>
  </w:style>
  <w:style w:type="paragraph" w:customStyle="1" w:styleId="63">
    <w:name w:val="msonormal"/>
    <w:basedOn w:val="1"/>
    <w:qFormat/>
    <w:uiPriority w:val="0"/>
    <w:pPr>
      <w:spacing w:before="100" w:beforeAutospacing="1" w:after="100" w:afterAutospacing="1"/>
      <w:jc w:val="left"/>
    </w:pPr>
    <w:rPr>
      <w:rFonts w:ascii="Times New Roman" w:hAnsi="Times New Roman"/>
      <w:kern w:val="0"/>
      <w:sz w:val="24"/>
      <w:szCs w:val="24"/>
    </w:rPr>
  </w:style>
  <w:style w:type="paragraph" w:customStyle="1" w:styleId="64">
    <w:name w:val="Revision"/>
    <w:hidden/>
    <w:unhideWhenUsed/>
    <w:uiPriority w:val="99"/>
    <w:rPr>
      <w:rFonts w:ascii="Times New Roman" w:hAnsi="Times New Roman" w:eastAsia="宋体" w:cs="Times New Roman"/>
      <w:kern w:val="2"/>
      <w:sz w:val="21"/>
      <w:szCs w:val="24"/>
      <w:lang w:val="en-US" w:eastAsia="zh-CN" w:bidi="ar-SA"/>
    </w:rPr>
  </w:style>
  <w:style w:type="character" w:customStyle="1" w:styleId="65">
    <w:name w:val="font61"/>
    <w:uiPriority w:val="0"/>
    <w:rPr>
      <w:rFonts w:hint="eastAsia" w:ascii="宋体" w:hAnsi="宋体" w:eastAsia="宋体" w:cs="宋体"/>
      <w:color w:val="000000"/>
      <w:sz w:val="21"/>
      <w:szCs w:val="21"/>
      <w:u w:val="none"/>
    </w:rPr>
  </w:style>
  <w:style w:type="character" w:customStyle="1" w:styleId="66">
    <w:name w:val="font51"/>
    <w:uiPriority w:val="0"/>
    <w:rPr>
      <w:rFonts w:ascii="Calibri" w:hAnsi="Calibri" w:cs="Calibri"/>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B998E5E-734A-4677-A94B-6776812C3FAB}">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5531</Words>
  <Characters>5941</Characters>
  <Lines>47</Lines>
  <Paragraphs>13</Paragraphs>
  <TotalTime>968</TotalTime>
  <ScaleCrop>false</ScaleCrop>
  <LinksUpToDate>false</LinksUpToDate>
  <CharactersWithSpaces>6100</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2018-05-28T07:43:00Z</dcterms:created>
  <dc:creator>潘世炜</dc:creator>
  <cp:lastModifiedBy>招标办</cp:lastModifiedBy>
  <cp:lastPrinted>2018-09-21T03:54:00Z</cp:lastPrinted>
  <dcterms:modified xsi:type="dcterms:W3CDTF">2022-06-16T10:37:42Z</dcterms:modified>
  <cp:revision>366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78AFDB6E601F41638D2A549873E72443</vt:lpwstr>
  </property>
</Properties>
</file>