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80"/>
          <w:szCs w:val="80"/>
        </w:rPr>
      </w:pPr>
    </w:p>
    <w:p>
      <w:pPr>
        <w:spacing w:line="276" w:lineRule="auto"/>
        <w:jc w:val="center"/>
        <w:rPr>
          <w:rFonts w:ascii="宋体" w:hAnsi="宋体"/>
          <w:color w:val="0000FF"/>
          <w:sz w:val="56"/>
        </w:rPr>
      </w:pPr>
      <w:r>
        <w:rPr>
          <w:rFonts w:hint="eastAsia" w:ascii="宋体" w:hAnsi="宋体"/>
          <w:color w:val="0000FF"/>
          <w:sz w:val="56"/>
        </w:rPr>
        <w:t>深圳大学总医院</w:t>
      </w:r>
    </w:p>
    <w:p>
      <w:pPr>
        <w:spacing w:line="276" w:lineRule="auto"/>
        <w:jc w:val="center"/>
        <w:rPr>
          <w:rFonts w:ascii="宋体" w:hAnsi="宋体"/>
          <w:b/>
          <w:color w:val="000000"/>
          <w:sz w:val="90"/>
        </w:rPr>
      </w:pPr>
      <w:r>
        <w:rPr>
          <w:rFonts w:hint="eastAsia" w:ascii="宋体" w:hAnsi="宋体"/>
          <w:b/>
          <w:color w:val="000000"/>
          <w:sz w:val="90"/>
        </w:rPr>
        <w:t>采 购 文 件</w:t>
      </w:r>
    </w:p>
    <w:p>
      <w:pPr>
        <w:spacing w:line="276" w:lineRule="auto"/>
        <w:jc w:val="center"/>
        <w:rPr>
          <w:b/>
          <w:sz w:val="32"/>
          <w:szCs w:val="32"/>
        </w:rPr>
      </w:pPr>
      <w:r>
        <w:rPr>
          <w:rFonts w:hint="eastAsia"/>
          <w:b/>
          <w:sz w:val="32"/>
          <w:szCs w:val="32"/>
        </w:rPr>
        <w:t>（货物类-设备）</w:t>
      </w:r>
    </w:p>
    <w:p>
      <w:pPr>
        <w:spacing w:line="276" w:lineRule="auto"/>
      </w:pPr>
    </w:p>
    <w:p/>
    <w:p/>
    <w:p/>
    <w:p/>
    <w:p/>
    <w:p/>
    <w:p>
      <w:pPr>
        <w:spacing w:line="360" w:lineRule="auto"/>
        <w:jc w:val="center"/>
        <w:rPr>
          <w:sz w:val="32"/>
          <w:szCs w:val="32"/>
        </w:rPr>
      </w:pPr>
      <w:r>
        <w:rPr>
          <w:rFonts w:hint="eastAsia" w:ascii="宋体" w:hAnsi="宋体"/>
          <w:sz w:val="32"/>
          <w:szCs w:val="32"/>
        </w:rPr>
        <w:t>项目名称</w:t>
      </w:r>
      <w:r>
        <w:rPr>
          <w:rFonts w:ascii="宋体" w:hAnsi="宋体"/>
          <w:sz w:val="32"/>
          <w:szCs w:val="32"/>
        </w:rPr>
        <w:t>：</w:t>
      </w:r>
      <w:r>
        <w:rPr>
          <w:rFonts w:hint="eastAsia" w:ascii="宋体" w:hAnsi="宋体"/>
          <w:color w:val="FF0000"/>
          <w:sz w:val="32"/>
          <w:szCs w:val="32"/>
        </w:rPr>
        <w:t>护理床头屏设备</w:t>
      </w:r>
    </w:p>
    <w:p/>
    <w:p>
      <w:pPr>
        <w:spacing w:line="360" w:lineRule="auto"/>
        <w:jc w:val="center"/>
        <w:rPr>
          <w:rFonts w:ascii="宋体" w:hAnsi="宋体"/>
          <w:color w:val="FF0000"/>
          <w:sz w:val="32"/>
          <w:szCs w:val="32"/>
        </w:rPr>
      </w:pPr>
      <w:r>
        <w:rPr>
          <w:rFonts w:hint="eastAsia" w:ascii="宋体" w:hAnsi="宋体"/>
          <w:color w:val="000000"/>
          <w:sz w:val="32"/>
          <w:szCs w:val="32"/>
        </w:rPr>
        <w:t>招标编号：</w:t>
      </w:r>
      <w:r>
        <w:rPr>
          <w:rFonts w:hint="eastAsia" w:ascii="宋体" w:hAnsi="宋体"/>
          <w:color w:val="FF0000"/>
          <w:sz w:val="32"/>
          <w:szCs w:val="32"/>
        </w:rPr>
        <w:t>SUGHCG2020034EQ</w:t>
      </w:r>
    </w:p>
    <w:p>
      <w:pPr>
        <w:spacing w:line="360" w:lineRule="auto"/>
      </w:pPr>
    </w:p>
    <w:p/>
    <w:p/>
    <w:p/>
    <w:p/>
    <w:p/>
    <w:p/>
    <w:p/>
    <w:p/>
    <w:p/>
    <w:p/>
    <w:p/>
    <w:p/>
    <w:p/>
    <w:p/>
    <w:p/>
    <w:p/>
    <w:p/>
    <w:p/>
    <w:p/>
    <w:p/>
    <w:p/>
    <w:p>
      <w:pPr>
        <w:spacing w:line="360" w:lineRule="auto"/>
        <w:jc w:val="center"/>
        <w:rPr>
          <w:rFonts w:ascii="宋体" w:hAnsi="宋体"/>
          <w:color w:val="000000"/>
          <w:sz w:val="32"/>
        </w:rPr>
      </w:pPr>
      <w:r>
        <w:rPr>
          <w:rFonts w:hint="eastAsia" w:ascii="宋体" w:hAnsi="宋体"/>
          <w:color w:val="000000"/>
          <w:sz w:val="32"/>
        </w:rPr>
        <w:t>深圳大学总医院招投标管理办公室</w:t>
      </w:r>
    </w:p>
    <w:p>
      <w:pPr>
        <w:spacing w:line="360" w:lineRule="auto"/>
        <w:jc w:val="center"/>
        <w:rPr>
          <w:rFonts w:ascii="宋体" w:hAnsi="宋体"/>
          <w:color w:val="000000"/>
          <w:sz w:val="32"/>
        </w:rPr>
      </w:pPr>
      <w:r>
        <w:rPr>
          <w:rFonts w:hint="eastAsia" w:ascii="宋体" w:hAnsi="宋体"/>
          <w:color w:val="FF0000"/>
          <w:sz w:val="32"/>
        </w:rPr>
        <w:t>二零二零年十一月</w:t>
      </w:r>
    </w:p>
    <w:p>
      <w:pPr>
        <w:jc w:val="center"/>
      </w:pPr>
    </w:p>
    <w:p>
      <w:pPr>
        <w:pStyle w:val="2"/>
      </w:pPr>
      <w:r>
        <w:rPr>
          <w:rFonts w:hint="eastAsia"/>
        </w:rPr>
        <w:t>关键信息</w:t>
      </w:r>
    </w:p>
    <w:p>
      <w:pPr>
        <w:pStyle w:val="5"/>
        <w:rPr>
          <w:sz w:val="36"/>
          <w:szCs w:val="36"/>
        </w:rPr>
      </w:pPr>
      <w:r>
        <w:rPr>
          <w:rFonts w:hint="eastAsia"/>
          <w:sz w:val="36"/>
          <w:szCs w:val="36"/>
        </w:rPr>
        <w:t>项目信息</w:t>
      </w:r>
    </w:p>
    <w:p>
      <w:pPr>
        <w:rPr>
          <w:rFonts w:ascii="宋体" w:hAnsi="宋体"/>
          <w:sz w:val="32"/>
        </w:rPr>
      </w:pPr>
      <w:r>
        <w:rPr>
          <w:rFonts w:ascii="宋体" w:hAnsi="宋体"/>
          <w:sz w:val="32"/>
        </w:rPr>
        <w:t xml:space="preserve">      项目编号：  </w:t>
      </w:r>
      <w:r>
        <w:rPr>
          <w:rFonts w:hint="eastAsia" w:ascii="宋体" w:hAnsi="宋体"/>
          <w:color w:val="FF0000"/>
          <w:sz w:val="32"/>
          <w:szCs w:val="32"/>
        </w:rPr>
        <w:t>SUGHCG2020034EQ</w:t>
      </w:r>
    </w:p>
    <w:p>
      <w:pPr>
        <w:ind w:left="2880" w:hanging="2880" w:hangingChars="900"/>
        <w:rPr>
          <w:rFonts w:ascii="宋体" w:hAnsi="宋体"/>
          <w:sz w:val="32"/>
        </w:rPr>
      </w:pPr>
      <w:r>
        <w:rPr>
          <w:rFonts w:ascii="宋体" w:hAnsi="宋体"/>
          <w:sz w:val="32"/>
        </w:rPr>
        <w:t xml:space="preserve">      项目名称：  </w:t>
      </w:r>
      <w:r>
        <w:rPr>
          <w:rFonts w:hint="eastAsia" w:ascii="宋体" w:hAnsi="宋体"/>
          <w:color w:val="FF0000"/>
          <w:sz w:val="32"/>
          <w:szCs w:val="32"/>
        </w:rPr>
        <w:t>护理床头屏设备</w:t>
      </w:r>
    </w:p>
    <w:p>
      <w:pPr>
        <w:rPr>
          <w:rFonts w:ascii="宋体" w:hAnsi="宋体"/>
          <w:sz w:val="32"/>
        </w:rPr>
      </w:pPr>
      <w:r>
        <w:rPr>
          <w:rFonts w:ascii="宋体" w:hAnsi="宋体"/>
          <w:sz w:val="32"/>
        </w:rPr>
        <w:t xml:space="preserve">      包   号：   </w:t>
      </w:r>
      <w:r>
        <w:rPr>
          <w:rFonts w:hint="eastAsia" w:ascii="宋体" w:hAnsi="宋体"/>
          <w:sz w:val="32"/>
        </w:rPr>
        <w:t>A</w:t>
      </w:r>
    </w:p>
    <w:p>
      <w:pPr>
        <w:rPr>
          <w:rFonts w:ascii="宋体" w:hAnsi="宋体"/>
          <w:sz w:val="32"/>
        </w:rPr>
      </w:pPr>
      <w:r>
        <w:rPr>
          <w:rFonts w:ascii="宋体" w:hAnsi="宋体"/>
          <w:sz w:val="32"/>
        </w:rPr>
        <w:t xml:space="preserve">      项目类型：  货物类</w:t>
      </w:r>
    </w:p>
    <w:p>
      <w:pPr>
        <w:rPr>
          <w:rFonts w:ascii="宋体" w:hAnsi="宋体"/>
          <w:sz w:val="32"/>
        </w:rPr>
      </w:pPr>
      <w:r>
        <w:rPr>
          <w:rFonts w:ascii="宋体" w:hAnsi="宋体"/>
          <w:sz w:val="32"/>
        </w:rPr>
        <w:t xml:space="preserve">      采购方式：  公开招标</w:t>
      </w:r>
    </w:p>
    <w:p>
      <w:pPr>
        <w:rPr>
          <w:rFonts w:ascii="宋体" w:hAnsi="宋体"/>
          <w:sz w:val="32"/>
        </w:rPr>
      </w:pPr>
      <w:r>
        <w:rPr>
          <w:rFonts w:ascii="宋体" w:hAnsi="宋体"/>
          <w:sz w:val="32"/>
        </w:rPr>
        <w:t xml:space="preserve">      货币类型：  人民币</w:t>
      </w:r>
    </w:p>
    <w:p>
      <w:pPr>
        <w:rPr>
          <w:rFonts w:ascii="宋体" w:hAnsi="宋体"/>
          <w:sz w:val="32"/>
        </w:rPr>
      </w:pPr>
      <w:r>
        <w:rPr>
          <w:rFonts w:hint="eastAsia" w:ascii="宋体" w:hAnsi="宋体"/>
          <w:sz w:val="32"/>
        </w:rPr>
        <w:t xml:space="preserve">      评标方法：</w:t>
      </w:r>
      <w:r>
        <w:rPr>
          <w:rFonts w:hint="eastAsia" w:ascii="宋体" w:hAnsi="宋体"/>
          <w:sz w:val="32"/>
        </w:rPr>
        <w:tab/>
      </w:r>
      <w:r>
        <w:rPr>
          <w:rFonts w:hint="eastAsia" w:ascii="宋体" w:hAnsi="宋体"/>
          <w:sz w:val="32"/>
        </w:rPr>
        <w:t>综合评分法</w:t>
      </w:r>
    </w:p>
    <w:p>
      <w:pPr>
        <w:ind w:firstLine="551" w:firstLineChars="196"/>
        <w:rPr>
          <w:b/>
          <w:color w:val="FF0000"/>
          <w:sz w:val="28"/>
          <w:szCs w:val="28"/>
        </w:rPr>
      </w:pPr>
    </w:p>
    <w:p>
      <w:pPr>
        <w:pStyle w:val="5"/>
        <w:rPr>
          <w:sz w:val="36"/>
        </w:rPr>
      </w:pPr>
      <w:r>
        <w:rPr>
          <w:rFonts w:hint="eastAsia"/>
          <w:sz w:val="36"/>
        </w:rPr>
        <w:t>投标文件初审表</w:t>
      </w:r>
    </w:p>
    <w:p>
      <w:pPr>
        <w:jc w:val="center"/>
        <w:rPr>
          <w:b/>
          <w:sz w:val="28"/>
          <w:szCs w:val="28"/>
        </w:rPr>
      </w:pPr>
      <w:r>
        <w:rPr>
          <w:rFonts w:hint="eastAsia"/>
          <w:b/>
          <w:sz w:val="28"/>
          <w:szCs w:val="28"/>
        </w:rPr>
        <w:t>资格性检查表</w:t>
      </w:r>
    </w:p>
    <w:p>
      <w:pPr>
        <w:jc w:val="center"/>
        <w:rPr>
          <w:b/>
        </w:rPr>
      </w:pPr>
      <w:r>
        <w:rPr>
          <w:rFonts w:hint="eastAsia"/>
          <w:b/>
        </w:rPr>
        <w:t>（凡有下列情形之一的，投标文件无效，投标作投标无效处理）</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rPr>
                <w:rFonts w:hint="eastAsia"/>
              </w:rPr>
              <w:t>序号</w:t>
            </w:r>
          </w:p>
        </w:tc>
        <w:tc>
          <w:tcPr>
            <w:tcW w:w="7457" w:type="dxa"/>
            <w:vAlign w:val="center"/>
          </w:tcPr>
          <w:p>
            <w:pPr>
              <w:jc w:val="center"/>
            </w:pPr>
            <w:r>
              <w:rPr>
                <w:rFonts w:hint="eastAsi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t>1</w:t>
            </w:r>
          </w:p>
        </w:tc>
        <w:tc>
          <w:tcPr>
            <w:tcW w:w="7457" w:type="dxa"/>
            <w:vAlign w:val="center"/>
          </w:tcPr>
          <w:p>
            <w:pPr>
              <w:adjustRightInd w:val="0"/>
              <w:snapToGrid w:val="0"/>
              <w:spacing w:line="360" w:lineRule="auto"/>
              <w:jc w:val="left"/>
              <w:rPr>
                <w:b/>
                <w:color w:val="FF0000"/>
              </w:rPr>
            </w:pPr>
            <w:r>
              <w:rPr>
                <w:rFonts w:hint="eastAsia"/>
                <w:b/>
                <w:color w:val="FF0000"/>
              </w:rPr>
              <w:t>投标人不具备招标文件所列的资格要求，或未提交相应的资格证明资料（详见招标公告</w:t>
            </w:r>
            <w:r>
              <w:rPr>
                <w:rFonts w:hint="eastAsia"/>
                <w:b/>
              </w:rPr>
              <w:t>投标人资质要求</w:t>
            </w:r>
            <w:r>
              <w:rPr>
                <w:rFonts w:hint="eastAsia"/>
                <w:b/>
                <w:color w:val="FF0000"/>
              </w:rPr>
              <w:t>，其中未列示的资格要求不得导致投标无效）</w:t>
            </w:r>
          </w:p>
        </w:tc>
      </w:tr>
    </w:tbl>
    <w:p/>
    <w:p>
      <w:pPr>
        <w:jc w:val="center"/>
        <w:rPr>
          <w:b/>
          <w:sz w:val="28"/>
          <w:szCs w:val="28"/>
        </w:rPr>
      </w:pPr>
      <w:r>
        <w:rPr>
          <w:rFonts w:hint="eastAsia"/>
          <w:b/>
          <w:sz w:val="28"/>
          <w:szCs w:val="28"/>
        </w:rPr>
        <w:t>符合性检查表</w:t>
      </w:r>
    </w:p>
    <w:p>
      <w:pPr>
        <w:jc w:val="center"/>
        <w:rPr>
          <w:b/>
        </w:rPr>
      </w:pPr>
      <w:r>
        <w:rPr>
          <w:rFonts w:hint="eastAsia"/>
          <w:b/>
        </w:rPr>
        <w:t>（凡有下列情形之一的，投标文件无效，投标作投标无效处理）</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rPr>
                <w:rFonts w:hint="eastAsia"/>
              </w:rPr>
              <w:t>序号</w:t>
            </w:r>
          </w:p>
        </w:tc>
        <w:tc>
          <w:tcPr>
            <w:tcW w:w="7457" w:type="dxa"/>
            <w:vAlign w:val="center"/>
          </w:tcPr>
          <w:p>
            <w:pPr>
              <w:jc w:val="center"/>
            </w:pPr>
            <w:r>
              <w:rPr>
                <w:rFonts w:hint="eastAsi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t>1</w:t>
            </w:r>
          </w:p>
        </w:tc>
        <w:tc>
          <w:tcPr>
            <w:tcW w:w="7457" w:type="dxa"/>
            <w:vAlign w:val="center"/>
          </w:tcPr>
          <w:p>
            <w:pPr>
              <w:jc w:val="left"/>
            </w:pPr>
            <w:r>
              <w:rPr>
                <w:rFonts w:hint="eastAsia"/>
              </w:rP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t>2</w:t>
            </w:r>
          </w:p>
        </w:tc>
        <w:tc>
          <w:tcPr>
            <w:tcW w:w="7457" w:type="dxa"/>
            <w:vAlign w:val="center"/>
          </w:tcPr>
          <w:p>
            <w:pPr>
              <w:adjustRightInd w:val="0"/>
              <w:snapToGrid w:val="0"/>
              <w:spacing w:line="360" w:lineRule="auto"/>
              <w:jc w:val="left"/>
            </w:pPr>
            <w:r>
              <w:rPr>
                <w:rFonts w:hint="eastAsia"/>
              </w:rPr>
              <w:t>招标文件未规定允许有替代方案时，对同一货物投标时，同时提供两套或两套以上的投标方案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vAlign w:val="center"/>
          </w:tcPr>
          <w:p>
            <w:pPr>
              <w:jc w:val="center"/>
            </w:pPr>
            <w:r>
              <w:t>3</w:t>
            </w:r>
          </w:p>
        </w:tc>
        <w:tc>
          <w:tcPr>
            <w:tcW w:w="7457" w:type="dxa"/>
            <w:vAlign w:val="center"/>
          </w:tcPr>
          <w:p>
            <w:pPr>
              <w:jc w:val="left"/>
            </w:pPr>
            <w:r>
              <w:rPr>
                <w:rFonts w:hint="eastAsia"/>
              </w:rPr>
              <w:t>投标总价或分项报价高于财政预算限额的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t>4</w:t>
            </w:r>
          </w:p>
        </w:tc>
        <w:tc>
          <w:tcPr>
            <w:tcW w:w="7457" w:type="dxa"/>
            <w:vAlign w:val="center"/>
          </w:tcPr>
          <w:p>
            <w:pPr>
              <w:adjustRightInd w:val="0"/>
              <w:snapToGrid w:val="0"/>
              <w:spacing w:line="360" w:lineRule="auto"/>
              <w:jc w:val="left"/>
            </w:pPr>
            <w:r>
              <w:rPr>
                <w:rFonts w:hint="eastAsia"/>
              </w:rPr>
              <w:t>同一项目出现两个及以上报价，且根据招标文件通用条款“34.错误的修正”内容，无法确定有效报价的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t>5</w:t>
            </w:r>
          </w:p>
        </w:tc>
        <w:tc>
          <w:tcPr>
            <w:tcW w:w="7457" w:type="dxa"/>
            <w:vAlign w:val="center"/>
          </w:tcPr>
          <w:p>
            <w:pPr>
              <w:spacing w:line="360" w:lineRule="auto"/>
              <w:jc w:val="left"/>
            </w:pPr>
            <w:r>
              <w:rPr>
                <w:rFonts w:hint="eastAsia"/>
              </w:rPr>
              <w:t>投标人的报价明显低于其他通过符合性审查投标人的报价，有可能影响产品质量或者不能诚信履约的，且投标人不能证明其报价合理性；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vAlign w:val="center"/>
          </w:tcPr>
          <w:p>
            <w:pPr>
              <w:jc w:val="center"/>
            </w:pPr>
            <w:r>
              <w:rPr>
                <w:rFonts w:hint="eastAsia"/>
              </w:rPr>
              <w:t>6</w:t>
            </w:r>
          </w:p>
        </w:tc>
        <w:tc>
          <w:tcPr>
            <w:tcW w:w="7457" w:type="dxa"/>
            <w:vAlign w:val="center"/>
          </w:tcPr>
          <w:p>
            <w:pPr>
              <w:jc w:val="left"/>
            </w:pPr>
            <w:r>
              <w:rPr>
                <w:rFonts w:hint="eastAsia"/>
              </w:rPr>
              <w:t>未按照货物明细清单要求逐项报价，投标报价有严重缺漏项目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t>7</w:t>
            </w:r>
          </w:p>
        </w:tc>
        <w:tc>
          <w:tcPr>
            <w:tcW w:w="7457" w:type="dxa"/>
            <w:vAlign w:val="center"/>
          </w:tcPr>
          <w:p>
            <w:pPr>
              <w:jc w:val="left"/>
              <w:rPr>
                <w:b/>
              </w:rPr>
            </w:pPr>
            <w:r>
              <w:rPr>
                <w:rFonts w:hint="eastAsia"/>
                <w:b/>
              </w:rPr>
              <w:t>投标文件载明的交货期超过招标文件规定的期限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t>8</w:t>
            </w:r>
          </w:p>
        </w:tc>
        <w:tc>
          <w:tcPr>
            <w:tcW w:w="7457" w:type="dxa"/>
            <w:vAlign w:val="center"/>
          </w:tcPr>
          <w:p>
            <w:pPr>
              <w:jc w:val="left"/>
              <w:rPr>
                <w:b/>
              </w:rPr>
            </w:pPr>
            <w:r>
              <w:rPr>
                <w:rFonts w:hint="eastAsia"/>
                <w:b/>
              </w:rPr>
              <w:t>投标文件载明的免费保修期低于招标文件规定的期限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rPr>
                <w:rFonts w:hint="eastAsia"/>
              </w:rPr>
              <w:t>9</w:t>
            </w:r>
          </w:p>
        </w:tc>
        <w:tc>
          <w:tcPr>
            <w:tcW w:w="7457" w:type="dxa"/>
            <w:vAlign w:val="center"/>
          </w:tcPr>
          <w:p>
            <w:pPr>
              <w:jc w:val="left"/>
              <w:rPr>
                <w:b/>
              </w:rPr>
            </w:pPr>
            <w:r>
              <w:rPr>
                <w:rFonts w:hint="eastAsia"/>
                <w:b/>
              </w:rPr>
              <w:t>投标文件</w:t>
            </w:r>
            <w:r>
              <w:rPr>
                <w:b/>
              </w:rPr>
              <w:t>载明的付款方式与招标文件规定的</w:t>
            </w:r>
            <w:r>
              <w:rPr>
                <w:rFonts w:hint="eastAsia"/>
                <w:b/>
              </w:rPr>
              <w:t>出现</w:t>
            </w:r>
            <w:r>
              <w:rPr>
                <w:b/>
              </w:rPr>
              <w:t>负偏离（</w:t>
            </w:r>
            <w:r>
              <w:rPr>
                <w:rFonts w:hint="eastAsia"/>
                <w:b/>
              </w:rPr>
              <w:t>相对</w:t>
            </w:r>
            <w:r>
              <w:rPr>
                <w:b/>
              </w:rPr>
              <w:t>不利于采购人</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t>10</w:t>
            </w:r>
          </w:p>
        </w:tc>
        <w:tc>
          <w:tcPr>
            <w:tcW w:w="7457" w:type="dxa"/>
            <w:vAlign w:val="center"/>
          </w:tcPr>
          <w:p>
            <w:pPr>
              <w:jc w:val="left"/>
              <w:rPr>
                <w:b/>
              </w:rPr>
            </w:pPr>
            <w:r>
              <w:rPr>
                <w:rFonts w:hint="eastAsia"/>
                <w:color w:val="000000"/>
              </w:rPr>
              <w:t>对于拒绝进口的项目采用进口产品投标的；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t>11</w:t>
            </w:r>
          </w:p>
        </w:tc>
        <w:tc>
          <w:tcPr>
            <w:tcW w:w="7457" w:type="dxa"/>
            <w:vAlign w:val="center"/>
          </w:tcPr>
          <w:p>
            <w:pPr>
              <w:jc w:val="left"/>
              <w:rPr>
                <w:color w:val="000000"/>
              </w:rPr>
            </w:pPr>
            <w:r>
              <w:rPr>
                <w:rFonts w:hint="eastAsia"/>
                <w:color w:val="000000"/>
              </w:rPr>
              <w:t>所投产品、工程、服务在质量、技术、方案等方面没有实质性满足招标文件要求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46" w:type="dxa"/>
            <w:vAlign w:val="center"/>
          </w:tcPr>
          <w:p>
            <w:pPr>
              <w:jc w:val="center"/>
            </w:pPr>
            <w:r>
              <w:rPr>
                <w:rFonts w:hint="eastAsia"/>
              </w:rPr>
              <w:t>1</w:t>
            </w:r>
            <w:r>
              <w:t>2</w:t>
            </w:r>
          </w:p>
        </w:tc>
        <w:tc>
          <w:tcPr>
            <w:tcW w:w="7457" w:type="dxa"/>
            <w:vAlign w:val="center"/>
          </w:tcPr>
          <w:p>
            <w:pPr>
              <w:adjustRightInd w:val="0"/>
              <w:snapToGrid w:val="0"/>
              <w:spacing w:line="360" w:lineRule="auto"/>
              <w:jc w:val="left"/>
            </w:pPr>
            <w:r>
              <w:rPr>
                <w:rFonts w:hint="eastAsia"/>
              </w:rPr>
              <w:t>未按招标文件所提供的样式填写《投标函》；未按招标文件所提供的《投标及履约承诺函》进行承诺；未按招标文件对投标文件组成的要求提供投标文件的（投标文件组成不完整），以及未按招标文件要求详细填报材料、品牌、型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rPr>
                <w:rFonts w:hint="eastAsia"/>
              </w:rPr>
              <w:t>1</w:t>
            </w:r>
            <w:r>
              <w:t>3</w:t>
            </w:r>
          </w:p>
        </w:tc>
        <w:tc>
          <w:tcPr>
            <w:tcW w:w="7457" w:type="dxa"/>
            <w:vAlign w:val="center"/>
          </w:tcPr>
          <w:p>
            <w:pPr>
              <w:jc w:val="left"/>
              <w:rPr>
                <w:b/>
              </w:rPr>
            </w:pPr>
            <w:r>
              <w:rPr>
                <w:rFonts w:hint="eastAsia"/>
                <w:b/>
              </w:rPr>
              <w:t>《技术规格偏离表》或《商务需求偏离表》填写不全、不明或不实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6" w:type="dxa"/>
            <w:vAlign w:val="center"/>
          </w:tcPr>
          <w:p>
            <w:pPr>
              <w:jc w:val="center"/>
            </w:pPr>
            <w:r>
              <w:t>1</w:t>
            </w:r>
            <w:r>
              <w:rPr>
                <w:rFonts w:hint="eastAsia"/>
              </w:rPr>
              <w:t>4</w:t>
            </w:r>
          </w:p>
        </w:tc>
        <w:tc>
          <w:tcPr>
            <w:tcW w:w="7457" w:type="dxa"/>
            <w:vAlign w:val="center"/>
          </w:tcPr>
          <w:p>
            <w:pPr>
              <w:jc w:val="left"/>
            </w:pPr>
            <w:r>
              <w:rPr>
                <w:rFonts w:hint="eastAsia"/>
              </w:rPr>
              <w:t>法律、法规规定的其他情形</w:t>
            </w:r>
          </w:p>
        </w:tc>
      </w:tr>
    </w:tbl>
    <w:p/>
    <w:p/>
    <w:p>
      <w:pPr>
        <w:pStyle w:val="5"/>
        <w:rPr>
          <w:sz w:val="36"/>
        </w:rPr>
      </w:pPr>
      <w:r>
        <w:rPr>
          <w:sz w:val="36"/>
        </w:rPr>
        <w:t>评标信息</w:t>
      </w:r>
    </w:p>
    <w:p>
      <w:pPr>
        <w:rPr>
          <w:color w:val="FF0000"/>
        </w:rPr>
      </w:pPr>
      <w:bookmarkStart w:id="0" w:name="OLE_LINK2"/>
    </w:p>
    <w:p>
      <w:pPr>
        <w:adjustRightInd w:val="0"/>
        <w:snapToGrid w:val="0"/>
        <w:spacing w:line="360" w:lineRule="auto"/>
        <w:jc w:val="left"/>
      </w:pPr>
      <w:bookmarkStart w:id="1" w:name="OLE_LINK4"/>
      <w:bookmarkStart w:id="2" w:name="OLE_LINK3"/>
      <w:r>
        <w:rPr>
          <w:rFonts w:hint="eastAsia"/>
          <w:b/>
        </w:rPr>
        <w:t>评标方法：</w:t>
      </w:r>
      <w:r>
        <w:rPr>
          <w:rFonts w:hint="eastAsia"/>
        </w:rPr>
        <w:t xml:space="preserve">本项目评审方法采用 综合评分法（详见“第二册通用条款第七章”）。本项目推荐候选中标供应商数量为 </w:t>
      </w:r>
      <w:r>
        <w:t>1</w:t>
      </w:r>
      <w:r>
        <w:rPr>
          <w:rFonts w:hint="eastAsia"/>
        </w:rPr>
        <w:t xml:space="preserve"> 家，中标供应商数量为 1 家。</w:t>
      </w:r>
    </w:p>
    <w:p>
      <w:pPr>
        <w:adjustRightInd w:val="0"/>
        <w:snapToGrid w:val="0"/>
        <w:spacing w:line="360" w:lineRule="auto"/>
        <w:jc w:val="left"/>
      </w:pPr>
    </w:p>
    <w:p>
      <w:pPr>
        <w:adjustRightInd w:val="0"/>
        <w:snapToGrid w:val="0"/>
        <w:spacing w:line="360" w:lineRule="auto"/>
        <w:jc w:val="left"/>
        <w:rPr>
          <w:b/>
        </w:rPr>
      </w:pPr>
      <w:r>
        <w:rPr>
          <w:rFonts w:hint="eastAsia"/>
          <w:b/>
        </w:rPr>
        <w:t>评标方法</w:t>
      </w:r>
      <w:r>
        <w:rPr>
          <w:b/>
        </w:rPr>
        <w:t>说明：</w:t>
      </w:r>
    </w:p>
    <w:p>
      <w:pPr>
        <w:adjustRightInd w:val="0"/>
        <w:snapToGrid w:val="0"/>
        <w:spacing w:line="360" w:lineRule="auto"/>
        <w:ind w:firstLine="420" w:firstLineChars="200"/>
        <w:jc w:val="left"/>
      </w:pPr>
      <w:r>
        <w:rPr>
          <w:rFonts w:hint="eastAsia"/>
        </w:rPr>
        <w:t>价格分采用低价优先法计算，即满足招标文件要求且投标价格最低的投标报价为评标基准价，其价格分为满分。其他投标人的价格分按照下列公式计算：</w:t>
      </w:r>
    </w:p>
    <w:p>
      <w:pPr>
        <w:adjustRightInd w:val="0"/>
        <w:snapToGrid w:val="0"/>
        <w:spacing w:line="360" w:lineRule="auto"/>
        <w:ind w:firstLine="420"/>
        <w:jc w:val="left"/>
      </w:pPr>
      <w:r>
        <w:rPr>
          <w:rFonts w:hint="eastAsia"/>
        </w:rPr>
        <w:t>价格分 =</w:t>
      </w:r>
      <w:r>
        <w:t xml:space="preserve"> </w:t>
      </w:r>
      <w:r>
        <w:rPr>
          <w:rFonts w:hint="eastAsia"/>
        </w:rPr>
        <w:t>(评标基准价／投标报价)×100</w:t>
      </w:r>
    </w:p>
    <w:p>
      <w:pPr>
        <w:adjustRightInd w:val="0"/>
        <w:snapToGrid w:val="0"/>
        <w:spacing w:line="360" w:lineRule="auto"/>
        <w:jc w:val="left"/>
      </w:pPr>
      <w:r>
        <w:rPr>
          <w:rFonts w:hint="eastAsia"/>
        </w:rPr>
        <w:t>　　评标总得分＝F1×A1＋F2×A2＋……＋Fn×An</w:t>
      </w:r>
    </w:p>
    <w:p>
      <w:pPr>
        <w:adjustRightInd w:val="0"/>
        <w:snapToGrid w:val="0"/>
        <w:spacing w:line="360" w:lineRule="auto"/>
        <w:jc w:val="left"/>
      </w:pPr>
      <w:r>
        <w:rPr>
          <w:rFonts w:hint="eastAsia"/>
        </w:rPr>
        <w:t>　　F1、F2……Fn分别为各项评审因素的得分；</w:t>
      </w:r>
    </w:p>
    <w:p>
      <w:pPr>
        <w:adjustRightInd w:val="0"/>
        <w:snapToGrid w:val="0"/>
        <w:spacing w:line="360" w:lineRule="auto"/>
        <w:ind w:firstLine="420"/>
        <w:jc w:val="left"/>
      </w:pPr>
      <w:r>
        <w:rPr>
          <w:rFonts w:hint="eastAsia"/>
        </w:rPr>
        <w:t>A1、A2、……An 分别为各项评审因素所占的权重(A1＋A2＋……＋An＝1)。</w:t>
      </w:r>
    </w:p>
    <w:p>
      <w:pPr>
        <w:adjustRightInd w:val="0"/>
        <w:snapToGrid w:val="0"/>
        <w:spacing w:line="360" w:lineRule="auto"/>
        <w:ind w:firstLine="420"/>
        <w:jc w:val="left"/>
      </w:pPr>
      <w:r>
        <w:rPr>
          <w:rFonts w:hint="eastAsia"/>
        </w:rPr>
        <w:t>主观</w:t>
      </w:r>
      <w:r>
        <w:t>评分的评审</w:t>
      </w:r>
      <w:r>
        <w:rPr>
          <w:rFonts w:hint="eastAsia"/>
        </w:rPr>
        <w:t>因素</w:t>
      </w:r>
      <w:r>
        <w:t>的得分</w:t>
      </w:r>
      <w:r>
        <w:rPr>
          <w:rFonts w:hint="eastAsia"/>
        </w:rPr>
        <w:t>是</w:t>
      </w:r>
      <w:r>
        <w:t>所有评委</w:t>
      </w:r>
      <w:r>
        <w:rPr>
          <w:rFonts w:hint="eastAsia"/>
        </w:rPr>
        <w:t>打分</w:t>
      </w:r>
      <w:r>
        <w:t>的算数平均值（</w:t>
      </w:r>
      <w:r>
        <w:rPr>
          <w:rFonts w:hint="eastAsia"/>
        </w:rPr>
        <w:t>不得</w:t>
      </w:r>
      <w:r>
        <w:t>扣除最高分和最低分）</w:t>
      </w:r>
      <w:r>
        <w:rPr>
          <w:rFonts w:hint="eastAsia"/>
        </w:rPr>
        <w:t>。</w:t>
      </w:r>
    </w:p>
    <w:bookmarkEnd w:id="0"/>
    <w:bookmarkEnd w:id="1"/>
    <w:bookmarkEnd w:id="2"/>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645"/>
        <w:gridCol w:w="2186"/>
        <w:gridCol w:w="918"/>
        <w:gridCol w:w="376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782" w:type="dxa"/>
            <w:vAlign w:val="center"/>
          </w:tcPr>
          <w:p>
            <w:pPr>
              <w:spacing w:line="240" w:lineRule="exact"/>
              <w:jc w:val="center"/>
              <w:rPr>
                <w:szCs w:val="21"/>
              </w:rPr>
            </w:pPr>
            <w:bookmarkStart w:id="3" w:name="OLE_LINK5"/>
            <w:r>
              <w:rPr>
                <w:szCs w:val="21"/>
              </w:rPr>
              <w:t>序号</w:t>
            </w:r>
          </w:p>
        </w:tc>
        <w:tc>
          <w:tcPr>
            <w:tcW w:w="3749" w:type="dxa"/>
            <w:gridSpan w:val="3"/>
            <w:vAlign w:val="center"/>
          </w:tcPr>
          <w:p>
            <w:pPr>
              <w:spacing w:line="240" w:lineRule="exact"/>
              <w:jc w:val="center"/>
              <w:rPr>
                <w:szCs w:val="21"/>
              </w:rPr>
            </w:pPr>
            <w:r>
              <w:rPr>
                <w:szCs w:val="21"/>
              </w:rPr>
              <w:t>评分项</w:t>
            </w:r>
          </w:p>
        </w:tc>
        <w:tc>
          <w:tcPr>
            <w:tcW w:w="3766" w:type="dxa"/>
            <w:vAlign w:val="center"/>
          </w:tcPr>
          <w:p>
            <w:pPr>
              <w:spacing w:line="240" w:lineRule="exact"/>
              <w:jc w:val="center"/>
              <w:rPr>
                <w:szCs w:val="21"/>
              </w:rPr>
            </w:pPr>
            <w:r>
              <w:rPr>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782" w:type="dxa"/>
            <w:vAlign w:val="center"/>
          </w:tcPr>
          <w:p>
            <w:pPr>
              <w:spacing w:line="240" w:lineRule="exact"/>
              <w:jc w:val="center"/>
              <w:rPr>
                <w:szCs w:val="21"/>
              </w:rPr>
            </w:pPr>
            <w:r>
              <w:rPr>
                <w:szCs w:val="21"/>
              </w:rPr>
              <w:t>1</w:t>
            </w:r>
          </w:p>
        </w:tc>
        <w:tc>
          <w:tcPr>
            <w:tcW w:w="3749" w:type="dxa"/>
            <w:gridSpan w:val="3"/>
            <w:vAlign w:val="center"/>
          </w:tcPr>
          <w:p>
            <w:pPr>
              <w:spacing w:line="240" w:lineRule="exact"/>
              <w:jc w:val="center"/>
              <w:rPr>
                <w:szCs w:val="21"/>
              </w:rPr>
            </w:pPr>
            <w:r>
              <w:rPr>
                <w:szCs w:val="21"/>
              </w:rPr>
              <w:t>价格</w:t>
            </w:r>
          </w:p>
        </w:tc>
        <w:tc>
          <w:tcPr>
            <w:tcW w:w="3766" w:type="dxa"/>
            <w:vAlign w:val="center"/>
          </w:tcPr>
          <w:p>
            <w:pPr>
              <w:spacing w:line="240" w:lineRule="exact"/>
              <w:jc w:val="center"/>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782" w:type="dxa"/>
            <w:vAlign w:val="center"/>
          </w:tcPr>
          <w:p>
            <w:pPr>
              <w:spacing w:line="240" w:lineRule="exact"/>
              <w:jc w:val="center"/>
              <w:rPr>
                <w:szCs w:val="21"/>
              </w:rPr>
            </w:pPr>
            <w:r>
              <w:rPr>
                <w:szCs w:val="21"/>
              </w:rPr>
              <w:t>2</w:t>
            </w:r>
          </w:p>
        </w:tc>
        <w:tc>
          <w:tcPr>
            <w:tcW w:w="3749" w:type="dxa"/>
            <w:gridSpan w:val="3"/>
            <w:vAlign w:val="center"/>
          </w:tcPr>
          <w:p>
            <w:pPr>
              <w:spacing w:line="240" w:lineRule="exact"/>
              <w:jc w:val="center"/>
              <w:rPr>
                <w:szCs w:val="21"/>
              </w:rPr>
            </w:pPr>
            <w:r>
              <w:rPr>
                <w:szCs w:val="21"/>
              </w:rPr>
              <w:t>技术部分</w:t>
            </w:r>
          </w:p>
        </w:tc>
        <w:tc>
          <w:tcPr>
            <w:tcW w:w="3766" w:type="dxa"/>
            <w:vAlign w:val="center"/>
          </w:tcPr>
          <w:p>
            <w:pPr>
              <w:spacing w:line="240" w:lineRule="exact"/>
              <w:jc w:val="center"/>
              <w:rPr>
                <w:szCs w:val="21"/>
              </w:rPr>
            </w:pPr>
            <w:r>
              <w:rPr>
                <w:rFonts w:hint="eastAsia"/>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782" w:type="dxa"/>
            <w:vMerge w:val="restart"/>
            <w:vAlign w:val="center"/>
          </w:tcPr>
          <w:p>
            <w:pPr>
              <w:spacing w:line="240" w:lineRule="exact"/>
              <w:jc w:val="center"/>
              <w:rPr>
                <w:szCs w:val="21"/>
              </w:rPr>
            </w:pPr>
          </w:p>
        </w:tc>
        <w:tc>
          <w:tcPr>
            <w:tcW w:w="645" w:type="dxa"/>
            <w:vAlign w:val="center"/>
          </w:tcPr>
          <w:p>
            <w:pPr>
              <w:spacing w:line="240" w:lineRule="exact"/>
              <w:jc w:val="center"/>
              <w:rPr>
                <w:szCs w:val="21"/>
              </w:rPr>
            </w:pPr>
            <w:r>
              <w:rPr>
                <w:szCs w:val="21"/>
              </w:rPr>
              <w:t>序号</w:t>
            </w:r>
          </w:p>
        </w:tc>
        <w:tc>
          <w:tcPr>
            <w:tcW w:w="2186" w:type="dxa"/>
            <w:vAlign w:val="center"/>
          </w:tcPr>
          <w:p>
            <w:pPr>
              <w:spacing w:line="240" w:lineRule="exact"/>
              <w:jc w:val="center"/>
              <w:rPr>
                <w:szCs w:val="21"/>
              </w:rPr>
            </w:pPr>
            <w:r>
              <w:rPr>
                <w:szCs w:val="21"/>
              </w:rPr>
              <w:t>评分因素</w:t>
            </w:r>
          </w:p>
        </w:tc>
        <w:tc>
          <w:tcPr>
            <w:tcW w:w="918" w:type="dxa"/>
            <w:vAlign w:val="center"/>
          </w:tcPr>
          <w:p>
            <w:pPr>
              <w:spacing w:line="240" w:lineRule="exact"/>
              <w:jc w:val="center"/>
              <w:rPr>
                <w:szCs w:val="21"/>
              </w:rPr>
            </w:pPr>
            <w:r>
              <w:rPr>
                <w:szCs w:val="21"/>
              </w:rPr>
              <w:t>权重（%）</w:t>
            </w:r>
          </w:p>
        </w:tc>
        <w:tc>
          <w:tcPr>
            <w:tcW w:w="3766" w:type="dxa"/>
            <w:vAlign w:val="center"/>
          </w:tcPr>
          <w:p>
            <w:pPr>
              <w:spacing w:line="240" w:lineRule="exact"/>
              <w:jc w:val="center"/>
              <w:rPr>
                <w:szCs w:val="21"/>
              </w:rPr>
            </w:pPr>
            <w:r>
              <w:rPr>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782" w:type="dxa"/>
            <w:vMerge w:val="continue"/>
            <w:vAlign w:val="center"/>
          </w:tcPr>
          <w:p>
            <w:pPr>
              <w:spacing w:line="240" w:lineRule="exact"/>
              <w:jc w:val="center"/>
              <w:rPr>
                <w:szCs w:val="21"/>
              </w:rPr>
            </w:pPr>
          </w:p>
        </w:tc>
        <w:tc>
          <w:tcPr>
            <w:tcW w:w="645" w:type="dxa"/>
            <w:vAlign w:val="center"/>
          </w:tcPr>
          <w:p>
            <w:pPr>
              <w:spacing w:after="160" w:line="240" w:lineRule="exact"/>
              <w:jc w:val="center"/>
              <w:rPr>
                <w:szCs w:val="21"/>
              </w:rPr>
            </w:pPr>
            <w:r>
              <w:rPr>
                <w:szCs w:val="21"/>
              </w:rPr>
              <w:t>1</w:t>
            </w:r>
          </w:p>
        </w:tc>
        <w:tc>
          <w:tcPr>
            <w:tcW w:w="2186" w:type="dxa"/>
            <w:vAlign w:val="center"/>
          </w:tcPr>
          <w:p>
            <w:pPr>
              <w:spacing w:line="240" w:lineRule="exact"/>
              <w:jc w:val="center"/>
              <w:rPr>
                <w:szCs w:val="21"/>
              </w:rPr>
            </w:pPr>
            <w:r>
              <w:rPr>
                <w:kern w:val="0"/>
                <w:szCs w:val="21"/>
              </w:rPr>
              <w:t>技术规格偏离情况</w:t>
            </w:r>
          </w:p>
        </w:tc>
        <w:tc>
          <w:tcPr>
            <w:tcW w:w="918" w:type="dxa"/>
            <w:vAlign w:val="center"/>
          </w:tcPr>
          <w:p>
            <w:pPr>
              <w:spacing w:after="160" w:line="240" w:lineRule="exact"/>
              <w:jc w:val="center"/>
              <w:rPr>
                <w:szCs w:val="21"/>
              </w:rPr>
            </w:pPr>
            <w:r>
              <w:rPr>
                <w:rFonts w:hint="eastAsia"/>
                <w:szCs w:val="21"/>
              </w:rPr>
              <w:t>50</w:t>
            </w:r>
          </w:p>
        </w:tc>
        <w:tc>
          <w:tcPr>
            <w:tcW w:w="3766" w:type="dxa"/>
            <w:vAlign w:val="center"/>
          </w:tcPr>
          <w:p>
            <w:pPr>
              <w:widowControl/>
              <w:adjustRightInd w:val="0"/>
              <w:snapToGrid w:val="0"/>
              <w:spacing w:line="360" w:lineRule="auto"/>
              <w:jc w:val="left"/>
              <w:rPr>
                <w:szCs w:val="21"/>
              </w:rPr>
            </w:pPr>
            <w:r>
              <w:rPr>
                <w:szCs w:val="21"/>
              </w:rPr>
              <w:t>投标人应如实填写《技术规格偏离表》，评审委员会根据技术需求参数响应情况进行打分，各项技术参数指标及要求全部满足的得100分。带</w:t>
            </w:r>
            <w:r>
              <w:rPr>
                <w:rFonts w:hint="eastAsia"/>
                <w:b/>
                <w:szCs w:val="21"/>
              </w:rPr>
              <w:t>★</w:t>
            </w:r>
            <w:r>
              <w:rPr>
                <w:szCs w:val="21"/>
              </w:rPr>
              <w:t>的参数为不可负偏离项，若负偏离即属于符合性检查表中</w:t>
            </w:r>
            <w:r>
              <w:rPr>
                <w:rFonts w:hint="eastAsia"/>
                <w:szCs w:val="21"/>
              </w:rPr>
              <w:t>“</w:t>
            </w:r>
            <w:r>
              <w:rPr>
                <w:szCs w:val="21"/>
              </w:rPr>
              <w:t>所投产品、工程、服务在质量、技术、方案等方面没有实质性满足招标文件要求</w:t>
            </w:r>
            <w:r>
              <w:rPr>
                <w:rFonts w:hint="eastAsia"/>
                <w:szCs w:val="21"/>
              </w:rPr>
              <w:t>”</w:t>
            </w:r>
            <w:r>
              <w:rPr>
                <w:szCs w:val="21"/>
              </w:rPr>
              <w:t>，初审不通过。带▲的参数为重要项，每负偏离一项扣</w:t>
            </w:r>
            <w:r>
              <w:rPr>
                <w:rFonts w:hint="eastAsia"/>
                <w:color w:val="FF0000"/>
                <w:szCs w:val="21"/>
              </w:rPr>
              <w:t>10</w:t>
            </w:r>
            <w:r>
              <w:rPr>
                <w:szCs w:val="21"/>
              </w:rPr>
              <w:t>分；普通参数每负偏离一项扣</w:t>
            </w:r>
            <w:r>
              <w:rPr>
                <w:rFonts w:hint="eastAsia"/>
                <w:color w:val="FF0000"/>
                <w:szCs w:val="21"/>
              </w:rPr>
              <w:t>2</w:t>
            </w:r>
            <w:r>
              <w:rPr>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455" w:hRule="atLeast"/>
          <w:jc w:val="center"/>
        </w:trPr>
        <w:tc>
          <w:tcPr>
            <w:tcW w:w="782" w:type="dxa"/>
            <w:vAlign w:val="center"/>
          </w:tcPr>
          <w:p>
            <w:pPr>
              <w:spacing w:line="240" w:lineRule="exact"/>
              <w:jc w:val="center"/>
              <w:rPr>
                <w:szCs w:val="21"/>
              </w:rPr>
            </w:pPr>
          </w:p>
        </w:tc>
        <w:tc>
          <w:tcPr>
            <w:tcW w:w="645" w:type="dxa"/>
            <w:vAlign w:val="center"/>
          </w:tcPr>
          <w:p>
            <w:pPr>
              <w:spacing w:line="240" w:lineRule="exact"/>
              <w:jc w:val="center"/>
              <w:rPr>
                <w:szCs w:val="21"/>
              </w:rPr>
            </w:pPr>
            <w:r>
              <w:rPr>
                <w:rFonts w:hint="eastAsia" w:ascii="宋体" w:hAnsi="宋体"/>
                <w:szCs w:val="21"/>
              </w:rPr>
              <w:t>2</w:t>
            </w:r>
          </w:p>
        </w:tc>
        <w:tc>
          <w:tcPr>
            <w:tcW w:w="2186" w:type="dxa"/>
            <w:vAlign w:val="center"/>
          </w:tcPr>
          <w:p>
            <w:pPr>
              <w:spacing w:line="240" w:lineRule="exact"/>
              <w:jc w:val="center"/>
              <w:rPr>
                <w:kern w:val="0"/>
                <w:szCs w:val="21"/>
              </w:rPr>
            </w:pPr>
            <w:r>
              <w:rPr>
                <w:rFonts w:hint="eastAsia" w:ascii="宋体" w:hAnsi="宋体"/>
                <w:szCs w:val="21"/>
              </w:rPr>
              <w:t>技术保障措施</w:t>
            </w:r>
          </w:p>
        </w:tc>
        <w:tc>
          <w:tcPr>
            <w:tcW w:w="918" w:type="dxa"/>
            <w:vAlign w:val="center"/>
          </w:tcPr>
          <w:p>
            <w:pPr>
              <w:spacing w:line="240" w:lineRule="exact"/>
              <w:jc w:val="center"/>
              <w:rPr>
                <w:szCs w:val="21"/>
              </w:rPr>
            </w:pPr>
            <w:r>
              <w:rPr>
                <w:rFonts w:ascii="宋体" w:hAnsi="宋体"/>
                <w:szCs w:val="21"/>
              </w:rPr>
              <w:t>3</w:t>
            </w:r>
          </w:p>
        </w:tc>
        <w:tc>
          <w:tcPr>
            <w:tcW w:w="3766" w:type="dxa"/>
            <w:vAlign w:val="center"/>
          </w:tcPr>
          <w:p>
            <w:pPr>
              <w:widowControl/>
              <w:adjustRightInd w:val="0"/>
              <w:snapToGrid w:val="0"/>
              <w:spacing w:line="360" w:lineRule="auto"/>
              <w:jc w:val="left"/>
              <w:rPr>
                <w:szCs w:val="21"/>
              </w:rPr>
            </w:pPr>
            <w:r>
              <w:rPr>
                <w:rFonts w:hint="eastAsia"/>
                <w:szCs w:val="21"/>
              </w:rPr>
              <w:t>投标人通过相关认证情况：</w:t>
            </w:r>
          </w:p>
          <w:p>
            <w:pPr>
              <w:widowControl/>
              <w:adjustRightInd w:val="0"/>
              <w:snapToGrid w:val="0"/>
              <w:spacing w:line="360" w:lineRule="auto"/>
              <w:jc w:val="left"/>
              <w:rPr>
                <w:szCs w:val="21"/>
              </w:rPr>
            </w:pPr>
            <w:r>
              <w:rPr>
                <w:rFonts w:hint="eastAsia"/>
                <w:szCs w:val="21"/>
              </w:rPr>
              <w:t>1、</w:t>
            </w:r>
            <w:r>
              <w:rPr>
                <w:rFonts w:hint="eastAsia"/>
                <w:szCs w:val="21"/>
              </w:rPr>
              <w:tab/>
            </w:r>
            <w:r>
              <w:rPr>
                <w:rFonts w:hint="eastAsia"/>
                <w:szCs w:val="21"/>
              </w:rPr>
              <w:t>具有ISO 20000信息技术服务管理体系认证证书；</w:t>
            </w:r>
          </w:p>
          <w:p>
            <w:pPr>
              <w:widowControl/>
              <w:adjustRightInd w:val="0"/>
              <w:snapToGrid w:val="0"/>
              <w:spacing w:line="360" w:lineRule="auto"/>
              <w:jc w:val="left"/>
              <w:rPr>
                <w:szCs w:val="21"/>
              </w:rPr>
            </w:pPr>
            <w:r>
              <w:rPr>
                <w:rFonts w:hint="eastAsia"/>
                <w:szCs w:val="21"/>
              </w:rPr>
              <w:t>2、</w:t>
            </w:r>
            <w:r>
              <w:rPr>
                <w:rFonts w:hint="eastAsia"/>
                <w:szCs w:val="21"/>
              </w:rPr>
              <w:tab/>
            </w:r>
            <w:r>
              <w:rPr>
                <w:rFonts w:hint="eastAsia"/>
                <w:szCs w:val="21"/>
              </w:rPr>
              <w:t>具有ISO 27001信息安全管理体系认证证书；</w:t>
            </w:r>
          </w:p>
          <w:p>
            <w:pPr>
              <w:widowControl/>
              <w:adjustRightInd w:val="0"/>
              <w:snapToGrid w:val="0"/>
              <w:spacing w:line="360" w:lineRule="auto"/>
              <w:jc w:val="left"/>
              <w:rPr>
                <w:szCs w:val="21"/>
              </w:rPr>
            </w:pPr>
          </w:p>
          <w:p>
            <w:pPr>
              <w:widowControl/>
              <w:adjustRightInd w:val="0"/>
              <w:snapToGrid w:val="0"/>
              <w:spacing w:line="360" w:lineRule="auto"/>
              <w:jc w:val="left"/>
              <w:rPr>
                <w:szCs w:val="21"/>
              </w:rPr>
            </w:pPr>
            <w:r>
              <w:rPr>
                <w:rFonts w:hint="eastAsia"/>
                <w:szCs w:val="21"/>
              </w:rPr>
              <w:t xml:space="preserve">评分依据： </w:t>
            </w:r>
          </w:p>
          <w:p>
            <w:pPr>
              <w:widowControl/>
              <w:adjustRightInd w:val="0"/>
              <w:snapToGrid w:val="0"/>
              <w:spacing w:line="360" w:lineRule="auto"/>
              <w:jc w:val="left"/>
              <w:rPr>
                <w:szCs w:val="21"/>
              </w:rPr>
            </w:pPr>
            <w:r>
              <w:rPr>
                <w:rFonts w:hint="eastAsia"/>
                <w:szCs w:val="21"/>
              </w:rPr>
              <w:t>1、同时提供以上2个证书得100分，其他情况不得分；</w:t>
            </w:r>
          </w:p>
          <w:p>
            <w:pPr>
              <w:widowControl/>
              <w:adjustRightInd w:val="0"/>
              <w:snapToGrid w:val="0"/>
              <w:spacing w:line="360" w:lineRule="auto"/>
              <w:jc w:val="left"/>
              <w:rPr>
                <w:szCs w:val="21"/>
              </w:rPr>
            </w:pPr>
            <w:r>
              <w:rPr>
                <w:rFonts w:hint="eastAsia"/>
                <w:szCs w:val="21"/>
              </w:rPr>
              <w:t>2、要求提供有效的认证证书作为得分依据，失效证书不得分；</w:t>
            </w:r>
          </w:p>
          <w:p>
            <w:pPr>
              <w:widowControl/>
              <w:adjustRightInd w:val="0"/>
              <w:snapToGrid w:val="0"/>
              <w:spacing w:line="360" w:lineRule="auto"/>
              <w:jc w:val="left"/>
              <w:rPr>
                <w:szCs w:val="21"/>
              </w:rPr>
            </w:pPr>
            <w:r>
              <w:rPr>
                <w:rFonts w:hint="eastAsia"/>
                <w:szCs w:val="21"/>
              </w:rPr>
              <w:t>3、以上资料均要求提供复印件，原件备查。评分中出现无证明资料或专家无法凭所提供资料判断是否得分的情况，一律作不得分处理。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782" w:type="dxa"/>
            <w:vAlign w:val="center"/>
          </w:tcPr>
          <w:p>
            <w:pPr>
              <w:spacing w:line="240" w:lineRule="exact"/>
              <w:jc w:val="center"/>
              <w:rPr>
                <w:szCs w:val="21"/>
              </w:rPr>
            </w:pPr>
            <w:r>
              <w:rPr>
                <w:szCs w:val="21"/>
              </w:rPr>
              <w:t>3</w:t>
            </w:r>
          </w:p>
        </w:tc>
        <w:tc>
          <w:tcPr>
            <w:tcW w:w="3749" w:type="dxa"/>
            <w:gridSpan w:val="3"/>
            <w:vAlign w:val="center"/>
          </w:tcPr>
          <w:p>
            <w:pPr>
              <w:spacing w:line="240" w:lineRule="exact"/>
              <w:jc w:val="center"/>
              <w:rPr>
                <w:szCs w:val="21"/>
              </w:rPr>
            </w:pPr>
            <w:r>
              <w:rPr>
                <w:szCs w:val="21"/>
              </w:rPr>
              <w:t>商务需求</w:t>
            </w:r>
          </w:p>
        </w:tc>
        <w:tc>
          <w:tcPr>
            <w:tcW w:w="3766" w:type="dxa"/>
            <w:vAlign w:val="center"/>
          </w:tcPr>
          <w:p>
            <w:pPr>
              <w:spacing w:line="240" w:lineRule="exact"/>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782" w:type="dxa"/>
            <w:vMerge w:val="restart"/>
            <w:vAlign w:val="center"/>
          </w:tcPr>
          <w:p>
            <w:pPr>
              <w:spacing w:line="240" w:lineRule="exact"/>
              <w:jc w:val="center"/>
              <w:rPr>
                <w:szCs w:val="21"/>
              </w:rPr>
            </w:pPr>
          </w:p>
        </w:tc>
        <w:tc>
          <w:tcPr>
            <w:tcW w:w="645" w:type="dxa"/>
            <w:vAlign w:val="center"/>
          </w:tcPr>
          <w:p>
            <w:pPr>
              <w:spacing w:line="240" w:lineRule="exact"/>
              <w:jc w:val="center"/>
              <w:rPr>
                <w:szCs w:val="21"/>
              </w:rPr>
            </w:pPr>
            <w:r>
              <w:rPr>
                <w:szCs w:val="21"/>
              </w:rPr>
              <w:t>序号</w:t>
            </w:r>
          </w:p>
        </w:tc>
        <w:tc>
          <w:tcPr>
            <w:tcW w:w="2186" w:type="dxa"/>
            <w:vAlign w:val="center"/>
          </w:tcPr>
          <w:p>
            <w:pPr>
              <w:spacing w:line="240" w:lineRule="exact"/>
              <w:jc w:val="center"/>
              <w:rPr>
                <w:szCs w:val="21"/>
              </w:rPr>
            </w:pPr>
            <w:r>
              <w:rPr>
                <w:szCs w:val="21"/>
              </w:rPr>
              <w:t>评分因素</w:t>
            </w:r>
          </w:p>
        </w:tc>
        <w:tc>
          <w:tcPr>
            <w:tcW w:w="918" w:type="dxa"/>
            <w:vAlign w:val="center"/>
          </w:tcPr>
          <w:p>
            <w:pPr>
              <w:spacing w:line="240" w:lineRule="exact"/>
              <w:jc w:val="center"/>
              <w:rPr>
                <w:szCs w:val="21"/>
              </w:rPr>
            </w:pPr>
            <w:r>
              <w:rPr>
                <w:szCs w:val="21"/>
              </w:rPr>
              <w:t>权重</w:t>
            </w:r>
          </w:p>
          <w:p>
            <w:pPr>
              <w:spacing w:line="240" w:lineRule="exact"/>
              <w:jc w:val="center"/>
              <w:rPr>
                <w:szCs w:val="21"/>
              </w:rPr>
            </w:pPr>
            <w:r>
              <w:rPr>
                <w:szCs w:val="21"/>
              </w:rPr>
              <w:t>（%）</w:t>
            </w:r>
          </w:p>
        </w:tc>
        <w:tc>
          <w:tcPr>
            <w:tcW w:w="3766" w:type="dxa"/>
            <w:vAlign w:val="center"/>
          </w:tcPr>
          <w:p>
            <w:pPr>
              <w:spacing w:line="240" w:lineRule="exact"/>
              <w:jc w:val="center"/>
              <w:rPr>
                <w:szCs w:val="21"/>
              </w:rPr>
            </w:pPr>
            <w:r>
              <w:rPr>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782" w:type="dxa"/>
            <w:vMerge w:val="continue"/>
            <w:vAlign w:val="center"/>
          </w:tcPr>
          <w:p>
            <w:pPr>
              <w:spacing w:line="240" w:lineRule="exact"/>
              <w:jc w:val="center"/>
              <w:rPr>
                <w:szCs w:val="21"/>
              </w:rPr>
            </w:pPr>
          </w:p>
        </w:tc>
        <w:tc>
          <w:tcPr>
            <w:tcW w:w="645" w:type="dxa"/>
            <w:vAlign w:val="center"/>
          </w:tcPr>
          <w:p>
            <w:pPr>
              <w:spacing w:line="240" w:lineRule="exact"/>
              <w:jc w:val="center"/>
              <w:rPr>
                <w:szCs w:val="21"/>
              </w:rPr>
            </w:pPr>
            <w:r>
              <w:rPr>
                <w:szCs w:val="21"/>
              </w:rPr>
              <w:t>1</w:t>
            </w:r>
          </w:p>
        </w:tc>
        <w:tc>
          <w:tcPr>
            <w:tcW w:w="2186" w:type="dxa"/>
            <w:vAlign w:val="center"/>
          </w:tcPr>
          <w:p>
            <w:pPr>
              <w:adjustRightInd w:val="0"/>
              <w:snapToGrid w:val="0"/>
              <w:spacing w:line="360" w:lineRule="auto"/>
              <w:jc w:val="center"/>
              <w:rPr>
                <w:szCs w:val="21"/>
              </w:rPr>
            </w:pPr>
            <w:r>
              <w:rPr>
                <w:szCs w:val="21"/>
              </w:rPr>
              <w:t>免费保修期内售后服务条款偏离情况</w:t>
            </w:r>
          </w:p>
        </w:tc>
        <w:tc>
          <w:tcPr>
            <w:tcW w:w="918" w:type="dxa"/>
            <w:vAlign w:val="center"/>
          </w:tcPr>
          <w:p>
            <w:pPr>
              <w:spacing w:line="240" w:lineRule="exact"/>
              <w:jc w:val="center"/>
              <w:rPr>
                <w:szCs w:val="21"/>
              </w:rPr>
            </w:pPr>
            <w:r>
              <w:rPr>
                <w:rFonts w:hint="eastAsia"/>
                <w:szCs w:val="21"/>
              </w:rPr>
              <w:t>7</w:t>
            </w:r>
          </w:p>
        </w:tc>
        <w:tc>
          <w:tcPr>
            <w:tcW w:w="3766" w:type="dxa"/>
            <w:vAlign w:val="center"/>
          </w:tcPr>
          <w:p>
            <w:pPr>
              <w:adjustRightInd w:val="0"/>
              <w:snapToGrid w:val="0"/>
              <w:spacing w:line="360" w:lineRule="auto"/>
              <w:jc w:val="left"/>
              <w:rPr>
                <w:szCs w:val="21"/>
              </w:rPr>
            </w:pPr>
            <w:r>
              <w:rPr>
                <w:rFonts w:hint="eastAsia" w:cs="宋体"/>
                <w:szCs w:val="21"/>
              </w:rPr>
              <w:t>投标人应如实填写《免费保修期内售后服务条款偏离表》，评审委员会根据响应情况进行打分，全部满足要求的得</w:t>
            </w:r>
            <w:r>
              <w:rPr>
                <w:szCs w:val="21"/>
              </w:rPr>
              <w:t>100</w:t>
            </w:r>
            <w:r>
              <w:rPr>
                <w:rFonts w:hint="eastAsia" w:cs="宋体"/>
                <w:szCs w:val="21"/>
              </w:rPr>
              <w:t>分，每负偏离一项扣</w:t>
            </w:r>
            <w:r>
              <w:rPr>
                <w:szCs w:val="21"/>
              </w:rPr>
              <w:t>20</w:t>
            </w:r>
            <w:r>
              <w:rPr>
                <w:rFonts w:hint="eastAsia" w:cs="宋体"/>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4" w:hRule="atLeast"/>
          <w:jc w:val="center"/>
        </w:trPr>
        <w:tc>
          <w:tcPr>
            <w:tcW w:w="782" w:type="dxa"/>
            <w:vMerge w:val="continue"/>
            <w:vAlign w:val="center"/>
          </w:tcPr>
          <w:p>
            <w:pPr>
              <w:spacing w:line="240" w:lineRule="exact"/>
              <w:jc w:val="center"/>
              <w:rPr>
                <w:szCs w:val="21"/>
              </w:rPr>
            </w:pPr>
          </w:p>
        </w:tc>
        <w:tc>
          <w:tcPr>
            <w:tcW w:w="645" w:type="dxa"/>
            <w:vAlign w:val="center"/>
          </w:tcPr>
          <w:p>
            <w:pPr>
              <w:spacing w:line="240" w:lineRule="exact"/>
              <w:jc w:val="center"/>
              <w:rPr>
                <w:szCs w:val="21"/>
              </w:rPr>
            </w:pPr>
            <w:r>
              <w:rPr>
                <w:rFonts w:hint="eastAsia"/>
                <w:szCs w:val="21"/>
              </w:rPr>
              <w:t>2</w:t>
            </w:r>
          </w:p>
        </w:tc>
        <w:tc>
          <w:tcPr>
            <w:tcW w:w="2186" w:type="dxa"/>
            <w:vAlign w:val="center"/>
          </w:tcPr>
          <w:p>
            <w:pPr>
              <w:adjustRightInd w:val="0"/>
              <w:snapToGrid w:val="0"/>
              <w:spacing w:line="360" w:lineRule="auto"/>
              <w:jc w:val="center"/>
              <w:rPr>
                <w:szCs w:val="21"/>
              </w:rPr>
            </w:pPr>
            <w:r>
              <w:rPr>
                <w:szCs w:val="21"/>
              </w:rPr>
              <w:t>其他商务条款偏离情况</w:t>
            </w:r>
          </w:p>
        </w:tc>
        <w:tc>
          <w:tcPr>
            <w:tcW w:w="918" w:type="dxa"/>
            <w:vAlign w:val="center"/>
          </w:tcPr>
          <w:p>
            <w:pPr>
              <w:spacing w:line="240" w:lineRule="exact"/>
              <w:jc w:val="center"/>
              <w:rPr>
                <w:szCs w:val="21"/>
              </w:rPr>
            </w:pPr>
            <w:r>
              <w:rPr>
                <w:rFonts w:hint="eastAsia"/>
                <w:szCs w:val="21"/>
              </w:rPr>
              <w:t>3</w:t>
            </w:r>
          </w:p>
        </w:tc>
        <w:tc>
          <w:tcPr>
            <w:tcW w:w="3766" w:type="dxa"/>
            <w:vAlign w:val="center"/>
          </w:tcPr>
          <w:p>
            <w:pPr>
              <w:adjustRightInd w:val="0"/>
              <w:snapToGrid w:val="0"/>
              <w:spacing w:line="360" w:lineRule="auto"/>
              <w:jc w:val="left"/>
              <w:rPr>
                <w:szCs w:val="21"/>
              </w:rPr>
            </w:pPr>
            <w:r>
              <w:rPr>
                <w:szCs w:val="21"/>
              </w:rPr>
              <w:t>投标人应如实填写《其他商务条款偏离表》，评审委员会根据响应情况进行打分，全部满足要求的得100分，每负偏离一项扣</w:t>
            </w:r>
            <w:r>
              <w:rPr>
                <w:rFonts w:hint="eastAsia"/>
                <w:szCs w:val="21"/>
              </w:rPr>
              <w:t>20</w:t>
            </w:r>
            <w:r>
              <w:rPr>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szCs w:val="21"/>
              </w:rPr>
              <w:t>4</w:t>
            </w:r>
          </w:p>
        </w:tc>
        <w:tc>
          <w:tcPr>
            <w:tcW w:w="374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szCs w:val="21"/>
              </w:rPr>
              <w:t>诚信情况</w:t>
            </w:r>
          </w:p>
        </w:tc>
        <w:tc>
          <w:tcPr>
            <w:tcW w:w="3772" w:type="dxa"/>
            <w:gridSpan w:val="2"/>
            <w:tcBorders>
              <w:top w:val="single" w:color="auto" w:sz="4" w:space="0"/>
              <w:left w:val="single" w:color="auto" w:sz="4" w:space="0"/>
              <w:bottom w:val="single" w:color="auto" w:sz="4" w:space="0"/>
              <w:right w:val="single" w:color="auto" w:sz="4" w:space="0"/>
            </w:tcBorders>
            <w:vAlign w:val="center"/>
          </w:tcPr>
          <w:p>
            <w:pPr>
              <w:pStyle w:val="37"/>
              <w:numPr>
                <w:ilvl w:val="12"/>
                <w:numId w:val="0"/>
              </w:numPr>
              <w:pBdr>
                <w:bottom w:val="none" w:color="auto" w:sz="0" w:space="0"/>
              </w:pBdr>
              <w:tabs>
                <w:tab w:val="left" w:pos="420"/>
              </w:tabs>
              <w:spacing w:line="300" w:lineRule="auto"/>
              <w:rPr>
                <w:sz w:val="21"/>
                <w:szCs w:val="21"/>
              </w:rPr>
            </w:pPr>
            <w:r>
              <w:rPr>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restart"/>
            <w:vAlign w:val="center"/>
          </w:tcPr>
          <w:p>
            <w:pPr>
              <w:spacing w:line="240" w:lineRule="exact"/>
              <w:jc w:val="center"/>
              <w:rPr>
                <w:szCs w:val="21"/>
              </w:rPr>
            </w:pPr>
          </w:p>
        </w:tc>
        <w:tc>
          <w:tcPr>
            <w:tcW w:w="645" w:type="dxa"/>
            <w:vAlign w:val="center"/>
          </w:tcPr>
          <w:p>
            <w:pPr>
              <w:spacing w:line="240" w:lineRule="exact"/>
              <w:jc w:val="center"/>
              <w:rPr>
                <w:szCs w:val="21"/>
              </w:rPr>
            </w:pPr>
            <w:r>
              <w:rPr>
                <w:szCs w:val="21"/>
              </w:rPr>
              <w:t>序号</w:t>
            </w:r>
          </w:p>
        </w:tc>
        <w:tc>
          <w:tcPr>
            <w:tcW w:w="2186" w:type="dxa"/>
            <w:vAlign w:val="center"/>
          </w:tcPr>
          <w:p>
            <w:pPr>
              <w:spacing w:line="240" w:lineRule="exact"/>
              <w:jc w:val="center"/>
              <w:rPr>
                <w:szCs w:val="21"/>
              </w:rPr>
            </w:pPr>
            <w:r>
              <w:rPr>
                <w:szCs w:val="21"/>
              </w:rPr>
              <w:t>评分因素</w:t>
            </w:r>
          </w:p>
        </w:tc>
        <w:tc>
          <w:tcPr>
            <w:tcW w:w="918" w:type="dxa"/>
            <w:vAlign w:val="center"/>
          </w:tcPr>
          <w:p>
            <w:pPr>
              <w:spacing w:line="240" w:lineRule="exact"/>
              <w:jc w:val="center"/>
              <w:rPr>
                <w:szCs w:val="21"/>
              </w:rPr>
            </w:pPr>
            <w:r>
              <w:rPr>
                <w:szCs w:val="21"/>
              </w:rPr>
              <w:t>权重</w:t>
            </w:r>
          </w:p>
          <w:p>
            <w:pPr>
              <w:spacing w:line="240" w:lineRule="exact"/>
              <w:jc w:val="center"/>
              <w:rPr>
                <w:szCs w:val="21"/>
              </w:rPr>
            </w:pPr>
            <w:r>
              <w:rPr>
                <w:szCs w:val="21"/>
              </w:rPr>
              <w:t>（%）</w:t>
            </w:r>
          </w:p>
        </w:tc>
        <w:tc>
          <w:tcPr>
            <w:tcW w:w="3772" w:type="dxa"/>
            <w:gridSpan w:val="2"/>
            <w:vAlign w:val="center"/>
          </w:tcPr>
          <w:p>
            <w:pPr>
              <w:spacing w:line="240" w:lineRule="exact"/>
              <w:jc w:val="center"/>
              <w:rPr>
                <w:szCs w:val="21"/>
              </w:rPr>
            </w:pPr>
            <w:r>
              <w:rPr>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spacing w:line="240" w:lineRule="exact"/>
              <w:jc w:val="center"/>
              <w:rPr>
                <w:szCs w:val="21"/>
              </w:rPr>
            </w:pPr>
          </w:p>
        </w:tc>
        <w:tc>
          <w:tcPr>
            <w:tcW w:w="645" w:type="dxa"/>
            <w:vAlign w:val="center"/>
          </w:tcPr>
          <w:p>
            <w:pPr>
              <w:spacing w:line="240" w:lineRule="exact"/>
              <w:jc w:val="center"/>
              <w:rPr>
                <w:szCs w:val="21"/>
              </w:rPr>
            </w:pPr>
            <w:r>
              <w:rPr>
                <w:szCs w:val="21"/>
              </w:rPr>
              <w:t>1</w:t>
            </w:r>
          </w:p>
        </w:tc>
        <w:tc>
          <w:tcPr>
            <w:tcW w:w="2186" w:type="dxa"/>
            <w:vAlign w:val="center"/>
          </w:tcPr>
          <w:p>
            <w:pPr>
              <w:spacing w:line="240" w:lineRule="exact"/>
              <w:jc w:val="center"/>
              <w:rPr>
                <w:szCs w:val="21"/>
              </w:rPr>
            </w:pPr>
            <w:r>
              <w:rPr>
                <w:szCs w:val="21"/>
              </w:rPr>
              <w:t>诚信</w:t>
            </w:r>
          </w:p>
        </w:tc>
        <w:tc>
          <w:tcPr>
            <w:tcW w:w="918" w:type="dxa"/>
            <w:vAlign w:val="center"/>
          </w:tcPr>
          <w:p>
            <w:pPr>
              <w:spacing w:line="240" w:lineRule="exact"/>
              <w:jc w:val="center"/>
              <w:rPr>
                <w:szCs w:val="21"/>
              </w:rPr>
            </w:pPr>
            <w:r>
              <w:rPr>
                <w:szCs w:val="21"/>
              </w:rPr>
              <w:t>5</w:t>
            </w:r>
          </w:p>
        </w:tc>
        <w:tc>
          <w:tcPr>
            <w:tcW w:w="3772" w:type="dxa"/>
            <w:gridSpan w:val="2"/>
          </w:tcPr>
          <w:p>
            <w:pPr>
              <w:adjustRightInd w:val="0"/>
              <w:snapToGrid w:val="0"/>
              <w:spacing w:line="360" w:lineRule="auto"/>
              <w:jc w:val="left"/>
              <w:rPr>
                <w:szCs w:val="21"/>
              </w:rPr>
            </w:pPr>
            <w:r>
              <w:rPr>
                <w:szCs w:val="21"/>
              </w:rPr>
              <w:t>根据《深圳市财政委员会关于加强招投标评审环节诚信管理的通知》（深财购[2013]27号）的要求，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spacing w:line="240" w:lineRule="exact"/>
              <w:jc w:val="center"/>
              <w:rPr>
                <w:szCs w:val="21"/>
              </w:rPr>
            </w:pPr>
          </w:p>
        </w:tc>
        <w:tc>
          <w:tcPr>
            <w:tcW w:w="645" w:type="dxa"/>
            <w:vAlign w:val="center"/>
          </w:tcPr>
          <w:p>
            <w:pPr>
              <w:spacing w:line="240" w:lineRule="exact"/>
              <w:jc w:val="center"/>
              <w:rPr>
                <w:szCs w:val="21"/>
              </w:rPr>
            </w:pPr>
            <w:r>
              <w:rPr>
                <w:szCs w:val="21"/>
              </w:rPr>
              <w:t>2</w:t>
            </w:r>
          </w:p>
        </w:tc>
        <w:tc>
          <w:tcPr>
            <w:tcW w:w="2186" w:type="dxa"/>
            <w:vAlign w:val="center"/>
          </w:tcPr>
          <w:p>
            <w:pPr>
              <w:spacing w:line="240" w:lineRule="exact"/>
              <w:jc w:val="center"/>
              <w:rPr>
                <w:szCs w:val="21"/>
              </w:rPr>
            </w:pPr>
            <w:r>
              <w:rPr>
                <w:szCs w:val="21"/>
              </w:rPr>
              <w:t>履约</w:t>
            </w:r>
          </w:p>
        </w:tc>
        <w:tc>
          <w:tcPr>
            <w:tcW w:w="918" w:type="dxa"/>
            <w:vAlign w:val="center"/>
          </w:tcPr>
          <w:p>
            <w:pPr>
              <w:spacing w:line="240" w:lineRule="exact"/>
              <w:jc w:val="center"/>
              <w:rPr>
                <w:szCs w:val="21"/>
              </w:rPr>
            </w:pPr>
            <w:r>
              <w:rPr>
                <w:szCs w:val="21"/>
              </w:rPr>
              <w:t>2</w:t>
            </w:r>
          </w:p>
        </w:tc>
        <w:tc>
          <w:tcPr>
            <w:tcW w:w="3772" w:type="dxa"/>
            <w:gridSpan w:val="2"/>
          </w:tcPr>
          <w:p>
            <w:pPr>
              <w:pStyle w:val="37"/>
              <w:numPr>
                <w:ilvl w:val="12"/>
                <w:numId w:val="0"/>
              </w:numPr>
              <w:pBdr>
                <w:bottom w:val="none" w:color="auto" w:sz="0" w:space="0"/>
              </w:pBdr>
              <w:tabs>
                <w:tab w:val="clear" w:pos="4153"/>
                <w:tab w:val="clear" w:pos="8306"/>
              </w:tabs>
              <w:adjustRightInd w:val="0"/>
              <w:spacing w:line="360" w:lineRule="auto"/>
              <w:jc w:val="left"/>
              <w:rPr>
                <w:sz w:val="21"/>
                <w:szCs w:val="21"/>
              </w:rPr>
            </w:pPr>
            <w:r>
              <w:rPr>
                <w:sz w:val="21"/>
                <w:szCs w:val="21"/>
              </w:rPr>
              <w:t>近三年（以投标截止日期为准）在</w:t>
            </w:r>
            <w:r>
              <w:rPr>
                <w:rFonts w:hint="eastAsia"/>
                <w:sz w:val="21"/>
                <w:szCs w:val="21"/>
              </w:rPr>
              <w:t>深圳大学总医院招投标管理办公室</w:t>
            </w:r>
            <w:r>
              <w:rPr>
                <w:sz w:val="21"/>
                <w:szCs w:val="21"/>
              </w:rPr>
              <w:t>有履约评价为差的记录，本项不得分，否则，得满分。投标人无需提供任何证明材料，由工作人员向评委会提供相关信息。</w:t>
            </w:r>
          </w:p>
        </w:tc>
      </w:tr>
      <w:bookmarkEnd w:id="3"/>
    </w:tbl>
    <w:p>
      <w:pPr>
        <w:adjustRightInd w:val="0"/>
        <w:snapToGrid w:val="0"/>
        <w:spacing w:line="360" w:lineRule="auto"/>
        <w:jc w:val="left"/>
        <w:rPr>
          <w:b/>
        </w:rPr>
      </w:pPr>
    </w:p>
    <w:p>
      <w:pPr>
        <w:adjustRightInd w:val="0"/>
        <w:snapToGrid w:val="0"/>
        <w:spacing w:line="360" w:lineRule="auto"/>
        <w:jc w:val="left"/>
        <w:rPr>
          <w:b/>
        </w:rPr>
      </w:pPr>
      <w:r>
        <w:rPr>
          <w:b/>
        </w:rPr>
        <w:t>备注：1.各评分项按百分制打分，总分等于各项得分乘以相应权重分之和；</w:t>
      </w:r>
    </w:p>
    <w:p>
      <w:pPr>
        <w:adjustRightInd w:val="0"/>
        <w:snapToGrid w:val="0"/>
        <w:spacing w:line="360" w:lineRule="auto"/>
        <w:jc w:val="left"/>
        <w:rPr>
          <w:b/>
          <w:szCs w:val="22"/>
        </w:rPr>
      </w:pPr>
      <w:r>
        <w:rPr>
          <w:b/>
          <w:szCs w:val="22"/>
        </w:rPr>
        <w:t>2.评分因素的设置须在本模板范围内；</w:t>
      </w:r>
    </w:p>
    <w:p>
      <w:pPr>
        <w:adjustRightInd w:val="0"/>
        <w:snapToGrid w:val="0"/>
        <w:spacing w:line="360" w:lineRule="auto"/>
        <w:jc w:val="left"/>
        <w:rPr>
          <w:b/>
          <w:szCs w:val="22"/>
        </w:rPr>
      </w:pPr>
      <w:r>
        <w:rPr>
          <w:b/>
          <w:szCs w:val="22"/>
        </w:rPr>
        <w:t>3.各评分因素有明确分值权重的不能更改；</w:t>
      </w:r>
    </w:p>
    <w:p>
      <w:pPr>
        <w:adjustRightInd w:val="0"/>
        <w:snapToGrid w:val="0"/>
        <w:spacing w:line="360" w:lineRule="auto"/>
        <w:jc w:val="left"/>
        <w:rPr>
          <w:b/>
          <w:szCs w:val="22"/>
        </w:rPr>
      </w:pPr>
      <w:r>
        <w:rPr>
          <w:b/>
          <w:szCs w:val="22"/>
        </w:rPr>
        <w:t>4.有明确权重范围的需在该范围内；</w:t>
      </w:r>
    </w:p>
    <w:p>
      <w:pPr>
        <w:adjustRightInd w:val="0"/>
        <w:snapToGrid w:val="0"/>
        <w:spacing w:line="360" w:lineRule="auto"/>
        <w:jc w:val="left"/>
        <w:rPr>
          <w:b/>
          <w:szCs w:val="22"/>
        </w:rPr>
      </w:pPr>
      <w:r>
        <w:rPr>
          <w:b/>
          <w:szCs w:val="22"/>
        </w:rPr>
        <w:t>5.评分因素中有可选项的，若不适用本项目的可删除。</w:t>
      </w:r>
    </w:p>
    <w:p>
      <w:pPr>
        <w:adjustRightInd w:val="0"/>
        <w:snapToGrid w:val="0"/>
        <w:spacing w:line="360" w:lineRule="auto"/>
        <w:jc w:val="left"/>
        <w:rPr>
          <w:b/>
        </w:rPr>
      </w:pPr>
      <w:r>
        <w:rPr>
          <w:b/>
        </w:rPr>
        <w:t>6.各权重分合计应当等于100%。</w:t>
      </w:r>
    </w:p>
    <w:p>
      <w:pPr>
        <w:adjustRightInd w:val="0"/>
        <w:snapToGrid w:val="0"/>
        <w:spacing w:line="360" w:lineRule="auto"/>
        <w:jc w:val="left"/>
        <w:rPr>
          <w:b/>
        </w:rPr>
      </w:pPr>
      <w:r>
        <w:rPr>
          <w:b/>
        </w:rPr>
        <w:t>7.</w:t>
      </w:r>
      <w:r>
        <w:t xml:space="preserve"> </w:t>
      </w:r>
      <w:r>
        <w:rPr>
          <w:b/>
        </w:rPr>
        <w:t>不得以特定行政区域或特定行业的业绩、奖项作为加分条件或中标、成交条件，且业绩评分因素的权重设置不得大于3%</w:t>
      </w:r>
    </w:p>
    <w:p>
      <w:pPr>
        <w:adjustRightInd w:val="0"/>
        <w:snapToGrid w:val="0"/>
        <w:spacing w:line="360" w:lineRule="auto"/>
        <w:jc w:val="left"/>
        <w:rPr>
          <w:b/>
        </w:rPr>
      </w:pPr>
      <w:r>
        <w:rPr>
          <w:b/>
        </w:rPr>
        <w:t>8.不得设置注册资本金、资产总额、营业收入、从业人员（即公司人员规模）、利润、纳税额等供应商的规模条件作为加分条件。</w:t>
      </w:r>
    </w:p>
    <w:p>
      <w:pPr>
        <w:widowControl/>
        <w:jc w:val="left"/>
      </w:pPr>
    </w:p>
    <w:p>
      <w:pPr>
        <w:widowControl/>
        <w:jc w:val="left"/>
      </w:pPr>
      <w:r>
        <w:br w:type="page"/>
      </w:r>
    </w:p>
    <w:p>
      <w:pPr>
        <w:pStyle w:val="2"/>
      </w:pPr>
      <w:r>
        <w:rPr>
          <w:rFonts w:hint="eastAsia"/>
        </w:rPr>
        <w:t>目   录</w:t>
      </w:r>
    </w:p>
    <w:p>
      <w:pPr>
        <w:adjustRightInd w:val="0"/>
        <w:snapToGrid w:val="0"/>
        <w:spacing w:line="360" w:lineRule="auto"/>
        <w:jc w:val="left"/>
        <w:rPr>
          <w:b/>
          <w:sz w:val="24"/>
        </w:rPr>
      </w:pPr>
      <w:r>
        <w:rPr>
          <w:rFonts w:hint="eastAsia"/>
          <w:b/>
          <w:sz w:val="24"/>
        </w:rPr>
        <w:t>第一册  专用条款</w:t>
      </w:r>
    </w:p>
    <w:p>
      <w:pPr>
        <w:adjustRightInd w:val="0"/>
        <w:snapToGrid w:val="0"/>
        <w:spacing w:line="360" w:lineRule="auto"/>
        <w:jc w:val="left"/>
        <w:rPr>
          <w:sz w:val="24"/>
        </w:rPr>
      </w:pPr>
      <w:r>
        <w:rPr>
          <w:rFonts w:hint="eastAsia"/>
          <w:sz w:val="24"/>
        </w:rPr>
        <w:t xml:space="preserve">          关键信息</w:t>
      </w:r>
    </w:p>
    <w:p>
      <w:pPr>
        <w:adjustRightInd w:val="0"/>
        <w:snapToGrid w:val="0"/>
        <w:spacing w:line="360" w:lineRule="auto"/>
        <w:ind w:left="630" w:leftChars="300" w:firstLine="630" w:firstLineChars="300"/>
        <w:jc w:val="left"/>
        <w:rPr>
          <w:rFonts w:ascii="宋体" w:hAnsi="宋体"/>
          <w:szCs w:val="21"/>
        </w:rPr>
      </w:pPr>
      <w:r>
        <w:rPr>
          <w:rFonts w:hint="eastAsia" w:ascii="宋体" w:hAnsi="宋体"/>
          <w:szCs w:val="21"/>
        </w:rPr>
        <w:t>第一章  招标公告</w:t>
      </w:r>
    </w:p>
    <w:p>
      <w:pPr>
        <w:adjustRightInd w:val="0"/>
        <w:snapToGrid w:val="0"/>
        <w:spacing w:line="360" w:lineRule="auto"/>
        <w:ind w:left="630" w:leftChars="300" w:firstLine="630" w:firstLineChars="300"/>
        <w:jc w:val="left"/>
        <w:rPr>
          <w:rFonts w:ascii="宋体" w:hAnsi="宋体"/>
          <w:szCs w:val="21"/>
        </w:rPr>
      </w:pPr>
      <w:r>
        <w:rPr>
          <w:rFonts w:hint="eastAsia" w:ascii="宋体" w:hAnsi="宋体"/>
          <w:szCs w:val="21"/>
        </w:rPr>
        <w:t>第二章  招标项目需求</w:t>
      </w:r>
    </w:p>
    <w:p>
      <w:pPr>
        <w:adjustRightInd w:val="0"/>
        <w:snapToGrid w:val="0"/>
        <w:spacing w:line="360" w:lineRule="auto"/>
        <w:ind w:left="630" w:leftChars="300" w:firstLine="630" w:firstLineChars="300"/>
        <w:jc w:val="left"/>
        <w:rPr>
          <w:rFonts w:ascii="宋体" w:hAnsi="宋体"/>
          <w:szCs w:val="21"/>
        </w:rPr>
      </w:pPr>
      <w:r>
        <w:rPr>
          <w:rFonts w:hint="eastAsia" w:ascii="宋体" w:hAnsi="宋体"/>
          <w:szCs w:val="21"/>
        </w:rPr>
        <w:t>第三章  投标文件格式、附件</w:t>
      </w:r>
    </w:p>
    <w:p>
      <w:pPr>
        <w:adjustRightInd w:val="0"/>
        <w:snapToGrid w:val="0"/>
        <w:spacing w:line="360" w:lineRule="auto"/>
        <w:ind w:left="630" w:leftChars="300" w:firstLine="630" w:firstLineChars="300"/>
        <w:jc w:val="left"/>
        <w:rPr>
          <w:rFonts w:ascii="宋体" w:hAnsi="宋体"/>
          <w:szCs w:val="21"/>
        </w:rPr>
      </w:pPr>
      <w:r>
        <w:rPr>
          <w:rFonts w:hint="eastAsia" w:ascii="宋体" w:hAnsi="宋体"/>
          <w:szCs w:val="21"/>
        </w:rPr>
        <w:t>第四章  合同条款及格式</w:t>
      </w:r>
    </w:p>
    <w:p>
      <w:pPr>
        <w:adjustRightInd w:val="0"/>
        <w:snapToGrid w:val="0"/>
        <w:spacing w:line="360" w:lineRule="auto"/>
        <w:ind w:left="630" w:leftChars="300" w:firstLine="630" w:firstLineChars="300"/>
        <w:jc w:val="left"/>
        <w:rPr>
          <w:rFonts w:ascii="宋体" w:hAnsi="宋体"/>
          <w:szCs w:val="21"/>
        </w:rPr>
      </w:pPr>
      <w:r>
        <w:rPr>
          <w:rFonts w:hint="eastAsia" w:ascii="宋体" w:hAnsi="宋体"/>
          <w:szCs w:val="21"/>
        </w:rPr>
        <w:t>第五章  政府采购履约异常情况反馈表</w:t>
      </w:r>
    </w:p>
    <w:p>
      <w:pPr>
        <w:adjustRightInd w:val="0"/>
        <w:snapToGrid w:val="0"/>
        <w:spacing w:line="360" w:lineRule="auto"/>
        <w:jc w:val="left"/>
        <w:rPr>
          <w:b/>
          <w:sz w:val="24"/>
        </w:rPr>
      </w:pPr>
    </w:p>
    <w:p>
      <w:pPr>
        <w:adjustRightInd w:val="0"/>
        <w:snapToGrid w:val="0"/>
        <w:spacing w:line="360" w:lineRule="auto"/>
        <w:jc w:val="left"/>
        <w:rPr>
          <w:b/>
          <w:sz w:val="24"/>
        </w:rPr>
      </w:pPr>
      <w:r>
        <w:rPr>
          <w:rFonts w:hint="eastAsia"/>
          <w:b/>
          <w:sz w:val="24"/>
        </w:rPr>
        <w:t>第二册  通用条款</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第一章  总则</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第二章  招标文件</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第三章  投标文件的编制</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第四章  投标文件的递交</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第五章  开标</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第六章  评标要求</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第七章  评标程序及评标方法</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第八章  定标及公示</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第九章  公开招标失败的后续处理</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第十章  合同的授予与备案</w:t>
      </w:r>
    </w:p>
    <w:p>
      <w:pPr>
        <w:numPr>
          <w:ilvl w:val="1"/>
          <w:numId w:val="0"/>
        </w:numPr>
        <w:tabs>
          <w:tab w:val="left" w:pos="360"/>
        </w:tabs>
        <w:adjustRightInd w:val="0"/>
        <w:snapToGrid w:val="0"/>
        <w:spacing w:line="360" w:lineRule="auto"/>
        <w:ind w:firstLine="1079" w:firstLineChars="514"/>
        <w:jc w:val="left"/>
        <w:rPr>
          <w:szCs w:val="21"/>
        </w:rPr>
      </w:pPr>
      <w:r>
        <w:rPr>
          <w:rFonts w:hint="eastAsia"/>
          <w:szCs w:val="21"/>
        </w:rPr>
        <w:t>第十一章  质疑处理</w:t>
      </w:r>
    </w:p>
    <w:p>
      <w:pPr>
        <w:adjustRightInd w:val="0"/>
        <w:snapToGrid w:val="0"/>
        <w:spacing w:line="360" w:lineRule="auto"/>
        <w:jc w:val="left"/>
        <w:rPr>
          <w:sz w:val="24"/>
        </w:rPr>
      </w:pPr>
    </w:p>
    <w:p>
      <w:pPr>
        <w:pStyle w:val="2"/>
      </w:pPr>
      <w:r>
        <w:rPr>
          <w:sz w:val="24"/>
        </w:rPr>
        <w:br w:type="page"/>
      </w:r>
      <w:bookmarkStart w:id="4" w:name="bt商务标投标文件格式"/>
      <w:bookmarkEnd w:id="4"/>
      <w:bookmarkStart w:id="5" w:name="bt合同条款"/>
      <w:bookmarkEnd w:id="5"/>
      <w:bookmarkStart w:id="6" w:name="合同格式"/>
      <w:bookmarkEnd w:id="6"/>
      <w:bookmarkStart w:id="7" w:name="bt说明"/>
      <w:bookmarkEnd w:id="7"/>
      <w:bookmarkStart w:id="8" w:name="bt投标函"/>
      <w:bookmarkEnd w:id="8"/>
      <w:bookmarkStart w:id="9" w:name="bt本工程承诺书"/>
      <w:bookmarkEnd w:id="9"/>
      <w:bookmarkStart w:id="10" w:name="bt投标人情况介绍"/>
      <w:bookmarkEnd w:id="10"/>
      <w:bookmarkStart w:id="11" w:name="bt投标文件签署授权委托书"/>
      <w:bookmarkEnd w:id="11"/>
      <w:bookmarkStart w:id="12" w:name="bt项目管理班子配备情况"/>
      <w:bookmarkEnd w:id="12"/>
      <w:bookmarkStart w:id="13" w:name="bt合同条款及格式"/>
      <w:bookmarkEnd w:id="13"/>
      <w:bookmarkStart w:id="14" w:name="bt其他资料2"/>
      <w:bookmarkEnd w:id="14"/>
      <w:bookmarkStart w:id="15" w:name="bt技术标投标文件格式"/>
      <w:bookmarkEnd w:id="15"/>
      <w:bookmarkStart w:id="16" w:name="bt投标人须知"/>
      <w:bookmarkEnd w:id="16"/>
      <w:bookmarkStart w:id="17" w:name="bt其他资料由投标人自定"/>
      <w:bookmarkEnd w:id="17"/>
      <w:bookmarkStart w:id="18" w:name="bt开标一览表"/>
      <w:bookmarkEnd w:id="18"/>
      <w:bookmarkStart w:id="19" w:name="bt合同格式"/>
      <w:bookmarkEnd w:id="19"/>
      <w:bookmarkStart w:id="20" w:name="bt投标报价汇总表"/>
      <w:bookmarkEnd w:id="20"/>
      <w:r>
        <w:rPr>
          <w:rFonts w:hint="eastAsia"/>
        </w:rPr>
        <w:t>第一册  专用条款</w:t>
      </w:r>
    </w:p>
    <w:p>
      <w:pPr>
        <w:pStyle w:val="5"/>
        <w:rPr>
          <w:sz w:val="32"/>
          <w:szCs w:val="32"/>
        </w:rPr>
      </w:pPr>
      <w:r>
        <w:rPr>
          <w:rFonts w:hint="eastAsia"/>
          <w:sz w:val="32"/>
          <w:szCs w:val="32"/>
        </w:rPr>
        <w:t>第一章  招标公告</w:t>
      </w:r>
    </w:p>
    <w:p>
      <w:pPr>
        <w:adjustRightInd w:val="0"/>
        <w:snapToGrid w:val="0"/>
        <w:spacing w:line="360" w:lineRule="auto"/>
        <w:ind w:firstLine="420" w:firstLineChars="200"/>
        <w:jc w:val="left"/>
        <w:rPr>
          <w:kern w:val="0"/>
          <w:szCs w:val="21"/>
        </w:rPr>
      </w:pPr>
      <w:r>
        <w:rPr>
          <w:kern w:val="0"/>
          <w:szCs w:val="21"/>
        </w:rPr>
        <w:t>根据《深圳经济特区政府采购条例》和《</w:t>
      </w:r>
      <w:r>
        <w:rPr>
          <w:rFonts w:hint="eastAsia"/>
          <w:kern w:val="0"/>
          <w:szCs w:val="21"/>
        </w:rPr>
        <w:t>深圳大学总医院</w:t>
      </w:r>
      <w:r>
        <w:rPr>
          <w:kern w:val="0"/>
          <w:szCs w:val="21"/>
        </w:rPr>
        <w:t>采购管理办法》的有关规定，</w:t>
      </w:r>
      <w:r>
        <w:rPr>
          <w:rFonts w:hint="eastAsia"/>
          <w:kern w:val="0"/>
          <w:szCs w:val="21"/>
        </w:rPr>
        <w:t>深圳大学总医院招投标管理办公室</w:t>
      </w:r>
      <w:r>
        <w:rPr>
          <w:kern w:val="0"/>
          <w:szCs w:val="21"/>
        </w:rPr>
        <w:t xml:space="preserve">就 </w:t>
      </w:r>
      <w:r>
        <w:rPr>
          <w:rFonts w:hint="eastAsia"/>
          <w:color w:val="FF0000"/>
          <w:kern w:val="0"/>
          <w:szCs w:val="21"/>
          <w:u w:val="single"/>
        </w:rPr>
        <w:t>护理床头屏设备</w:t>
      </w:r>
      <w:r>
        <w:rPr>
          <w:color w:val="FF0000"/>
          <w:kern w:val="0"/>
          <w:szCs w:val="21"/>
          <w:u w:val="single"/>
        </w:rPr>
        <w:t xml:space="preserve"> </w:t>
      </w:r>
      <w:r>
        <w:rPr>
          <w:kern w:val="0"/>
          <w:szCs w:val="21"/>
        </w:rPr>
        <w:t>项目，进行</w:t>
      </w:r>
      <w:r>
        <w:rPr>
          <w:color w:val="000000"/>
          <w:kern w:val="0"/>
          <w:szCs w:val="21"/>
        </w:rPr>
        <w:t>公开招标</w:t>
      </w:r>
      <w:r>
        <w:rPr>
          <w:kern w:val="0"/>
          <w:szCs w:val="21"/>
        </w:rPr>
        <w:t>，欢迎符合资格的供应商参加投标。</w:t>
      </w:r>
    </w:p>
    <w:p>
      <w:pPr>
        <w:adjustRightInd w:val="0"/>
        <w:snapToGrid w:val="0"/>
        <w:spacing w:line="360" w:lineRule="auto"/>
        <w:ind w:firstLine="420" w:firstLineChars="200"/>
        <w:jc w:val="left"/>
        <w:rPr>
          <w:kern w:val="0"/>
          <w:szCs w:val="21"/>
        </w:rPr>
      </w:pPr>
    </w:p>
    <w:p>
      <w:pPr>
        <w:adjustRightInd w:val="0"/>
        <w:snapToGrid w:val="0"/>
        <w:spacing w:line="360" w:lineRule="auto"/>
        <w:jc w:val="left"/>
        <w:rPr>
          <w:color w:val="FF0000"/>
          <w:kern w:val="0"/>
          <w:szCs w:val="21"/>
        </w:rPr>
      </w:pPr>
      <w:r>
        <w:rPr>
          <w:rFonts w:hint="eastAsia"/>
          <w:b/>
          <w:bCs/>
          <w:kern w:val="0"/>
          <w:szCs w:val="21"/>
        </w:rPr>
        <w:t>一、</w:t>
      </w:r>
      <w:r>
        <w:rPr>
          <w:b/>
          <w:bCs/>
          <w:kern w:val="0"/>
          <w:szCs w:val="21"/>
        </w:rPr>
        <w:t>项目编号：</w:t>
      </w:r>
      <w:r>
        <w:rPr>
          <w:rFonts w:hint="eastAsia"/>
          <w:color w:val="FF0000"/>
          <w:szCs w:val="21"/>
        </w:rPr>
        <w:t>SUGHCG2020034EQ</w:t>
      </w:r>
    </w:p>
    <w:p>
      <w:pPr>
        <w:adjustRightInd w:val="0"/>
        <w:snapToGrid w:val="0"/>
        <w:spacing w:line="360" w:lineRule="auto"/>
        <w:jc w:val="left"/>
        <w:rPr>
          <w:color w:val="FF0000"/>
          <w:kern w:val="0"/>
          <w:szCs w:val="21"/>
        </w:rPr>
      </w:pPr>
      <w:r>
        <w:rPr>
          <w:rFonts w:hint="eastAsia"/>
          <w:b/>
          <w:bCs/>
          <w:kern w:val="0"/>
          <w:szCs w:val="21"/>
        </w:rPr>
        <w:t>二、</w:t>
      </w:r>
      <w:r>
        <w:rPr>
          <w:b/>
          <w:bCs/>
          <w:kern w:val="0"/>
          <w:szCs w:val="21"/>
        </w:rPr>
        <w:t>项目名称</w:t>
      </w:r>
      <w:r>
        <w:rPr>
          <w:kern w:val="0"/>
          <w:szCs w:val="21"/>
        </w:rPr>
        <w:t>：</w:t>
      </w:r>
      <w:r>
        <w:rPr>
          <w:rFonts w:hint="eastAsia"/>
          <w:color w:val="FF0000"/>
          <w:kern w:val="0"/>
          <w:szCs w:val="21"/>
        </w:rPr>
        <w:t>护理床头屏设备</w:t>
      </w:r>
    </w:p>
    <w:p>
      <w:pPr>
        <w:adjustRightInd w:val="0"/>
        <w:snapToGrid w:val="0"/>
        <w:spacing w:line="360" w:lineRule="auto"/>
        <w:jc w:val="left"/>
        <w:rPr>
          <w:b/>
          <w:bCs/>
          <w:kern w:val="0"/>
          <w:szCs w:val="21"/>
        </w:rPr>
      </w:pPr>
      <w:r>
        <w:rPr>
          <w:b/>
          <w:bCs/>
          <w:kern w:val="0"/>
          <w:szCs w:val="21"/>
        </w:rPr>
        <w:t>三、项目概况：</w:t>
      </w:r>
    </w:p>
    <w:p>
      <w:pPr>
        <w:adjustRightInd w:val="0"/>
        <w:snapToGrid w:val="0"/>
        <w:spacing w:line="360" w:lineRule="auto"/>
        <w:ind w:firstLine="420" w:firstLineChars="200"/>
        <w:jc w:val="left"/>
        <w:rPr>
          <w:kern w:val="0"/>
          <w:szCs w:val="21"/>
        </w:rPr>
      </w:pPr>
      <w:r>
        <w:rPr>
          <w:kern w:val="0"/>
          <w:szCs w:val="21"/>
        </w:rPr>
        <w:t xml:space="preserve">详见招标文件。   </w:t>
      </w:r>
    </w:p>
    <w:p>
      <w:pPr>
        <w:adjustRightInd w:val="0"/>
        <w:snapToGrid w:val="0"/>
        <w:spacing w:line="360" w:lineRule="auto"/>
        <w:jc w:val="left"/>
        <w:rPr>
          <w:b/>
          <w:bCs/>
          <w:kern w:val="0"/>
          <w:szCs w:val="21"/>
        </w:rPr>
      </w:pPr>
      <w:r>
        <w:rPr>
          <w:b/>
          <w:bCs/>
          <w:kern w:val="0"/>
          <w:szCs w:val="21"/>
        </w:rPr>
        <w:t>四、投标人资格要求：</w:t>
      </w:r>
    </w:p>
    <w:p>
      <w:pPr>
        <w:adjustRightInd w:val="0"/>
        <w:snapToGrid w:val="0"/>
        <w:spacing w:line="360" w:lineRule="auto"/>
        <w:ind w:firstLine="420" w:firstLineChars="200"/>
        <w:jc w:val="left"/>
        <w:rPr>
          <w:kern w:val="0"/>
          <w:szCs w:val="21"/>
        </w:rPr>
      </w:pPr>
      <w:r>
        <w:rPr>
          <w:kern w:val="0"/>
          <w:szCs w:val="21"/>
        </w:rPr>
        <w:t>1. 投标人须是在中华人民共和国境内注册的有合法经营资格的法人或者其他组织；（证明文件：法人或者其他组织的营业执照（依法不需申请营业执照的使用法定的登记注册文件）原件复印件加盖投标人公章，原件备查）。</w:t>
      </w:r>
    </w:p>
    <w:p>
      <w:pPr>
        <w:adjustRightInd w:val="0"/>
        <w:snapToGrid w:val="0"/>
        <w:spacing w:line="360" w:lineRule="auto"/>
        <w:ind w:firstLine="420" w:firstLineChars="200"/>
        <w:jc w:val="left"/>
        <w:rPr>
          <w:kern w:val="0"/>
          <w:szCs w:val="21"/>
        </w:rPr>
      </w:pPr>
      <w:r>
        <w:rPr>
          <w:kern w:val="0"/>
          <w:szCs w:val="21"/>
        </w:rPr>
        <w:t>2. 参与本项目投标前三年内，在经营活动中没有重大违法记录（由供应商在《投标及履约承诺函》中作出声明）。</w:t>
      </w:r>
    </w:p>
    <w:p>
      <w:pPr>
        <w:adjustRightInd w:val="0"/>
        <w:snapToGrid w:val="0"/>
        <w:spacing w:line="360" w:lineRule="auto"/>
        <w:ind w:firstLine="420" w:firstLineChars="200"/>
        <w:jc w:val="left"/>
        <w:rPr>
          <w:kern w:val="0"/>
          <w:szCs w:val="21"/>
          <w:highlight w:val="none"/>
        </w:rPr>
      </w:pPr>
      <w:r>
        <w:rPr>
          <w:rFonts w:hint="eastAsia"/>
          <w:kern w:val="0"/>
          <w:szCs w:val="21"/>
        </w:rPr>
        <w:t>3</w:t>
      </w:r>
      <w:r>
        <w:rPr>
          <w:kern w:val="0"/>
          <w:szCs w:val="21"/>
        </w:rPr>
        <w:t>. 参与本项目政府采购活动时不存在被有关部门禁止参与政府采购活动且在有效期内的</w:t>
      </w:r>
      <w:r>
        <w:rPr>
          <w:kern w:val="0"/>
          <w:szCs w:val="21"/>
          <w:highlight w:val="none"/>
        </w:rPr>
        <w:t>情况（由供应商在《投标及履约承诺函》中作出声明）。</w:t>
      </w:r>
    </w:p>
    <w:p>
      <w:pPr>
        <w:adjustRightInd w:val="0"/>
        <w:snapToGrid w:val="0"/>
        <w:spacing w:line="360" w:lineRule="auto"/>
        <w:ind w:firstLine="420"/>
        <w:jc w:val="left"/>
        <w:rPr>
          <w:kern w:val="0"/>
          <w:szCs w:val="21"/>
          <w:highlight w:val="none"/>
        </w:rPr>
      </w:pPr>
      <w:r>
        <w:rPr>
          <w:rFonts w:hint="eastAsia"/>
          <w:kern w:val="0"/>
          <w:szCs w:val="21"/>
          <w:highlight w:val="none"/>
        </w:rPr>
        <w:t>4</w:t>
      </w:r>
      <w:r>
        <w:rPr>
          <w:kern w:val="0"/>
          <w:szCs w:val="21"/>
          <w:highlight w:val="none"/>
        </w:rPr>
        <w:t xml:space="preserve">. </w:t>
      </w:r>
      <w:r>
        <w:rPr>
          <w:rFonts w:hint="eastAsia" w:ascii="宋体" w:hAnsi="宋体" w:cs="宋体"/>
          <w:kern w:val="0"/>
          <w:szCs w:val="21"/>
          <w:highlight w:val="none"/>
        </w:rPr>
        <w:t>本项目拒绝投标人选用进口产品参与投标（进口产品是指通过海关验放进入中国境内且产自关境外的进口产品）</w:t>
      </w:r>
      <w:r>
        <w:rPr>
          <w:rFonts w:hint="eastAsia"/>
          <w:kern w:val="0"/>
          <w:szCs w:val="21"/>
          <w:highlight w:val="none"/>
        </w:rPr>
        <w:t>。</w:t>
      </w:r>
    </w:p>
    <w:p>
      <w:pPr>
        <w:adjustRightInd w:val="0"/>
        <w:snapToGrid w:val="0"/>
        <w:spacing w:line="360" w:lineRule="auto"/>
        <w:ind w:firstLine="420"/>
        <w:jc w:val="left"/>
        <w:rPr>
          <w:kern w:val="0"/>
          <w:szCs w:val="21"/>
        </w:rPr>
      </w:pPr>
      <w:r>
        <w:rPr>
          <w:rFonts w:hint="eastAsia"/>
          <w:kern w:val="0"/>
          <w:szCs w:val="21"/>
        </w:rPr>
        <w:t>5</w:t>
      </w:r>
      <w:r>
        <w:rPr>
          <w:kern w:val="0"/>
          <w:szCs w:val="21"/>
        </w:rPr>
        <w:t>.</w:t>
      </w:r>
      <w:r>
        <w:rPr>
          <w:rFonts w:hint="eastAsia" w:ascii="宋体" w:hAnsi="宋体"/>
          <w:bCs/>
          <w:color w:val="000000"/>
          <w:kern w:val="0"/>
          <w:szCs w:val="21"/>
        </w:rPr>
        <w:t>若所投产品为进口，则</w:t>
      </w:r>
      <w:r>
        <w:rPr>
          <w:rFonts w:hint="eastAsia" w:ascii="宋体" w:hAnsi="宋体"/>
          <w:color w:val="000000"/>
          <w:kern w:val="0"/>
          <w:szCs w:val="21"/>
        </w:rPr>
        <w:t>投</w:t>
      </w:r>
      <w:r>
        <w:rPr>
          <w:rFonts w:hint="eastAsia" w:ascii="宋体" w:hAnsi="宋体"/>
          <w:kern w:val="0"/>
          <w:szCs w:val="21"/>
        </w:rPr>
        <w:t>标人必须提供由设备制造商或授权的中国总代理签署的合法有效的保修、维修承诺函；若所投产品为国产产品，则无需提供。</w:t>
      </w:r>
    </w:p>
    <w:p>
      <w:pPr>
        <w:adjustRightInd w:val="0"/>
        <w:snapToGrid w:val="0"/>
        <w:spacing w:line="360" w:lineRule="auto"/>
        <w:ind w:firstLine="420" w:firstLineChars="200"/>
        <w:jc w:val="left"/>
        <w:rPr>
          <w:kern w:val="0"/>
          <w:szCs w:val="21"/>
        </w:rPr>
      </w:pPr>
      <w:r>
        <w:rPr>
          <w:rFonts w:hint="eastAsia"/>
          <w:kern w:val="0"/>
          <w:szCs w:val="21"/>
        </w:rPr>
        <w:t>6</w:t>
      </w:r>
      <w:r>
        <w:rPr>
          <w:kern w:val="0"/>
          <w:szCs w:val="21"/>
        </w:rPr>
        <w:t>. 本项目不接受联合体投标。</w:t>
      </w:r>
    </w:p>
    <w:p>
      <w:pPr>
        <w:adjustRightInd w:val="0"/>
        <w:snapToGrid w:val="0"/>
        <w:spacing w:line="360" w:lineRule="auto"/>
        <w:ind w:firstLine="420" w:firstLineChars="200"/>
        <w:jc w:val="left"/>
        <w:rPr>
          <w:kern w:val="0"/>
          <w:szCs w:val="21"/>
        </w:rPr>
      </w:pPr>
      <w:r>
        <w:rPr>
          <w:rFonts w:hint="eastAsia"/>
          <w:kern w:val="0"/>
          <w:szCs w:val="21"/>
        </w:rPr>
        <w:t>7</w:t>
      </w:r>
      <w:r>
        <w:rPr>
          <w:kern w:val="0"/>
          <w:szCs w:val="21"/>
        </w:rPr>
        <w:t>. 招标人将在“信用中国”网站（www.creditchina.gov.cn）、中国政府采购网（www.ccgp.gov.cn）、国家企业信用信息公示系统（www.gsxt.gov.cn）和深圳信用网（www.szcredit.org.cn）等网站查询，被查询发现存在不良信用记录，将拒绝其参加本次采购活动。</w:t>
      </w:r>
    </w:p>
    <w:p>
      <w:pPr>
        <w:adjustRightInd w:val="0"/>
        <w:snapToGrid w:val="0"/>
        <w:spacing w:line="360" w:lineRule="auto"/>
        <w:jc w:val="left"/>
        <w:rPr>
          <w:kern w:val="0"/>
          <w:szCs w:val="21"/>
        </w:rPr>
      </w:pPr>
    </w:p>
    <w:p>
      <w:pPr>
        <w:adjustRightInd w:val="0"/>
        <w:snapToGrid w:val="0"/>
        <w:spacing w:line="360" w:lineRule="auto"/>
        <w:jc w:val="left"/>
        <w:rPr>
          <w:rFonts w:ascii="微软雅黑" w:hAnsi="微软雅黑" w:eastAsia="微软雅黑" w:cs="微软雅黑"/>
          <w:color w:val="333333"/>
          <w:szCs w:val="21"/>
        </w:rPr>
      </w:pPr>
      <w:r>
        <w:rPr>
          <w:rFonts w:hint="eastAsia"/>
          <w:b/>
          <w:bCs/>
          <w:kern w:val="0"/>
          <w:szCs w:val="21"/>
        </w:rPr>
        <w:t>五、</w:t>
      </w:r>
      <w:r>
        <w:rPr>
          <w:b/>
          <w:bCs/>
          <w:kern w:val="0"/>
          <w:szCs w:val="21"/>
        </w:rPr>
        <w:t>采购预算或最高限价：</w:t>
      </w:r>
      <w:r>
        <w:rPr>
          <w:rFonts w:hint="eastAsia"/>
          <w:color w:val="FF0000"/>
          <w:kern w:val="0"/>
          <w:szCs w:val="21"/>
        </w:rPr>
        <w:t>112,330.00</w:t>
      </w:r>
      <w:r>
        <w:rPr>
          <w:color w:val="FF0000"/>
          <w:kern w:val="0"/>
          <w:szCs w:val="21"/>
        </w:rPr>
        <w:t>元</w:t>
      </w:r>
      <w:r>
        <w:rPr>
          <w:kern w:val="0"/>
          <w:szCs w:val="21"/>
        </w:rPr>
        <w:t>（人民币）。</w:t>
      </w:r>
    </w:p>
    <w:p>
      <w:pPr>
        <w:adjustRightInd w:val="0"/>
        <w:snapToGrid w:val="0"/>
        <w:spacing w:line="360" w:lineRule="auto"/>
        <w:jc w:val="left"/>
        <w:rPr>
          <w:rStyle w:val="59"/>
          <w:rFonts w:ascii="宋体" w:hAnsi="宋体" w:cs="宋体"/>
          <w:color w:val="222222"/>
          <w:szCs w:val="21"/>
          <w:shd w:val="clear" w:color="auto" w:fill="FFFFFF"/>
        </w:rPr>
      </w:pPr>
    </w:p>
    <w:p>
      <w:pPr>
        <w:adjustRightInd w:val="0"/>
        <w:snapToGrid w:val="0"/>
        <w:spacing w:line="360" w:lineRule="auto"/>
        <w:jc w:val="left"/>
        <w:rPr>
          <w:rFonts w:ascii="微软雅黑" w:hAnsi="微软雅黑" w:eastAsia="微软雅黑" w:cs="微软雅黑"/>
          <w:color w:val="333333"/>
          <w:szCs w:val="21"/>
        </w:rPr>
      </w:pPr>
      <w:r>
        <w:rPr>
          <w:rStyle w:val="59"/>
          <w:rFonts w:hint="eastAsia" w:ascii="宋体" w:hAnsi="宋体" w:cs="宋体"/>
          <w:color w:val="222222"/>
          <w:szCs w:val="21"/>
          <w:shd w:val="clear" w:color="auto" w:fill="FFFFFF"/>
        </w:rPr>
        <w:t>六、标书获得方法: </w:t>
      </w: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rPr>
      </w:pPr>
      <w:r>
        <w:rPr>
          <w:rFonts w:hint="eastAsia" w:ascii="宋体" w:hAnsi="宋体" w:cs="宋体"/>
          <w:color w:val="222222"/>
          <w:sz w:val="21"/>
          <w:szCs w:val="21"/>
          <w:shd w:val="clear" w:color="auto" w:fill="FFFFFF"/>
        </w:rPr>
        <w:t>任何有兴趣的合格投标人可于本招标公告发布之日起，在深圳大学总医院官网“招标公告”</w:t>
      </w: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rPr>
      </w:pPr>
      <w:r>
        <w:fldChar w:fldCharType="begin"/>
      </w:r>
      <w:r>
        <w:instrText xml:space="preserve"> HYPERLINK "http://www.sugh.net/Html/News/Columns/4/Index.html" </w:instrText>
      </w:r>
      <w:r>
        <w:fldChar w:fldCharType="separate"/>
      </w:r>
      <w:r>
        <w:rPr>
          <w:rStyle w:val="63"/>
          <w:rFonts w:hint="eastAsia" w:ascii="宋体" w:hAnsi="宋体" w:cs="宋体"/>
          <w:sz w:val="21"/>
          <w:szCs w:val="21"/>
          <w:shd w:val="clear" w:color="auto" w:fill="FFFFFF"/>
        </w:rPr>
        <w:t>http://www.sugh.net/Html/News/Columns/4/Index.html</w:t>
      </w:r>
      <w:r>
        <w:rPr>
          <w:rStyle w:val="63"/>
          <w:rFonts w:hint="eastAsia" w:ascii="宋体" w:hAnsi="宋体" w:cs="宋体"/>
          <w:sz w:val="21"/>
          <w:szCs w:val="21"/>
          <w:shd w:val="clear" w:color="auto" w:fill="FFFFFF"/>
        </w:rPr>
        <w:fldChar w:fldCharType="end"/>
      </w:r>
      <w:r>
        <w:rPr>
          <w:rFonts w:hint="eastAsia" w:ascii="宋体" w:hAnsi="宋体" w:cs="宋体"/>
          <w:color w:val="222222"/>
          <w:sz w:val="21"/>
          <w:szCs w:val="21"/>
          <w:shd w:val="clear" w:color="auto" w:fill="FFFFFF"/>
        </w:rPr>
        <w:t>对应本项目的招标公告页中下载项目的</w:t>
      </w:r>
      <w:r>
        <w:rPr>
          <w:rStyle w:val="59"/>
          <w:rFonts w:hint="eastAsia" w:ascii="宋体" w:hAnsi="宋体" w:cs="宋体"/>
          <w:color w:val="222222"/>
          <w:sz w:val="21"/>
          <w:szCs w:val="21"/>
          <w:shd w:val="clear" w:color="auto" w:fill="FFFFFF"/>
        </w:rPr>
        <w:t>电子标书</w:t>
      </w:r>
      <w:r>
        <w:rPr>
          <w:rFonts w:hint="eastAsia" w:ascii="宋体" w:hAnsi="宋体" w:cs="宋体"/>
          <w:color w:val="222222"/>
          <w:sz w:val="21"/>
          <w:szCs w:val="21"/>
          <w:shd w:val="clear" w:color="auto" w:fill="FFFFFF"/>
        </w:rPr>
        <w:t>。</w:t>
      </w: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rPr>
      </w:pP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rPr>
      </w:pPr>
      <w:r>
        <w:rPr>
          <w:rStyle w:val="59"/>
          <w:rFonts w:hint="eastAsia" w:ascii="宋体" w:hAnsi="宋体" w:cs="宋体"/>
          <w:color w:val="222222"/>
          <w:sz w:val="21"/>
          <w:szCs w:val="21"/>
          <w:shd w:val="clear" w:color="auto" w:fill="FFFFFF"/>
        </w:rPr>
        <w:t>七、投标报名方法：</w:t>
      </w: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highlight w:val="none"/>
        </w:rPr>
      </w:pPr>
      <w:r>
        <w:rPr>
          <w:rFonts w:hint="eastAsia" w:ascii="宋体" w:hAnsi="宋体" w:cs="宋体"/>
          <w:color w:val="222222"/>
          <w:sz w:val="21"/>
          <w:szCs w:val="21"/>
          <w:shd w:val="clear" w:color="auto" w:fill="FFFFFF"/>
        </w:rPr>
        <w:t>投标人报名</w:t>
      </w:r>
      <w:r>
        <w:rPr>
          <w:rFonts w:hint="eastAsia" w:ascii="宋体" w:hAnsi="宋体" w:cs="宋体"/>
          <w:color w:val="222222"/>
          <w:sz w:val="21"/>
          <w:szCs w:val="21"/>
          <w:highlight w:val="none"/>
          <w:shd w:val="clear" w:color="auto" w:fill="FFFFFF"/>
        </w:rPr>
        <w:t>须</w:t>
      </w:r>
      <w:r>
        <w:rPr>
          <w:rFonts w:hint="eastAsia" w:ascii="宋体" w:hAnsi="宋体" w:cs="宋体"/>
          <w:color w:val="000000"/>
          <w:sz w:val="21"/>
          <w:szCs w:val="21"/>
          <w:highlight w:val="none"/>
          <w:shd w:val="clear" w:color="auto" w:fill="FFFFFF"/>
        </w:rPr>
        <w:t>于</w:t>
      </w:r>
      <w:r>
        <w:rPr>
          <w:rFonts w:hint="eastAsia" w:ascii="宋体" w:hAnsi="宋体" w:cs="宋体"/>
          <w:color w:val="FF0000"/>
          <w:sz w:val="21"/>
          <w:szCs w:val="21"/>
          <w:highlight w:val="none"/>
          <w:shd w:val="clear" w:color="auto" w:fill="FFFFFF"/>
        </w:rPr>
        <w:t> </w:t>
      </w:r>
      <w:r>
        <w:rPr>
          <w:rFonts w:eastAsia="微软雅黑"/>
          <w:color w:val="FF0000"/>
          <w:sz w:val="21"/>
          <w:szCs w:val="21"/>
          <w:highlight w:val="none"/>
          <w:shd w:val="clear" w:color="auto" w:fill="FFFFFF"/>
        </w:rPr>
        <w:t>20</w:t>
      </w:r>
      <w:r>
        <w:rPr>
          <w:rFonts w:hint="eastAsia" w:ascii="宋体" w:hAnsi="宋体" w:cs="宋体"/>
          <w:color w:val="FF0000"/>
          <w:sz w:val="21"/>
          <w:szCs w:val="21"/>
          <w:highlight w:val="none"/>
          <w:shd w:val="clear" w:color="auto" w:fill="FFFFFF"/>
        </w:rPr>
        <w:t>20年</w:t>
      </w:r>
      <w:r>
        <w:rPr>
          <w:rFonts w:hint="eastAsia" w:ascii="宋体" w:hAnsi="宋体" w:cs="宋体"/>
          <w:color w:val="FF0000"/>
          <w:sz w:val="21"/>
          <w:szCs w:val="21"/>
          <w:highlight w:val="none"/>
          <w:shd w:val="clear" w:color="auto" w:fill="FFFFFF"/>
          <w:lang w:val="en-US" w:eastAsia="zh-CN"/>
        </w:rPr>
        <w:t>12</w:t>
      </w:r>
      <w:r>
        <w:rPr>
          <w:rFonts w:hint="eastAsia" w:ascii="宋体" w:hAnsi="宋体" w:cs="宋体"/>
          <w:color w:val="FF0000"/>
          <w:sz w:val="21"/>
          <w:szCs w:val="21"/>
          <w:highlight w:val="none"/>
          <w:shd w:val="clear" w:color="auto" w:fill="FFFFFF"/>
        </w:rPr>
        <w:t>月</w:t>
      </w:r>
      <w:r>
        <w:rPr>
          <w:rFonts w:hint="eastAsia" w:ascii="宋体" w:hAnsi="宋体" w:cs="宋体"/>
          <w:color w:val="FF0000"/>
          <w:sz w:val="21"/>
          <w:szCs w:val="21"/>
          <w:highlight w:val="none"/>
          <w:shd w:val="clear" w:color="auto" w:fill="FFFFFF"/>
          <w:lang w:val="en-US" w:eastAsia="zh-CN"/>
        </w:rPr>
        <w:t>9</w:t>
      </w:r>
      <w:r>
        <w:rPr>
          <w:rFonts w:hint="eastAsia" w:ascii="宋体" w:hAnsi="宋体" w:cs="宋体"/>
          <w:color w:val="FF0000"/>
          <w:sz w:val="21"/>
          <w:szCs w:val="21"/>
          <w:highlight w:val="none"/>
          <w:shd w:val="clear" w:color="auto" w:fill="FFFFFF"/>
        </w:rPr>
        <w:t>日（星期</w:t>
      </w:r>
      <w:r>
        <w:rPr>
          <w:rFonts w:hint="eastAsia" w:ascii="宋体" w:hAnsi="宋体" w:cs="宋体"/>
          <w:color w:val="FF0000"/>
          <w:sz w:val="21"/>
          <w:szCs w:val="21"/>
          <w:highlight w:val="none"/>
          <w:shd w:val="clear" w:color="auto" w:fill="FFFFFF"/>
          <w:lang w:eastAsia="zh-CN"/>
        </w:rPr>
        <w:t>三</w:t>
      </w:r>
      <w:r>
        <w:rPr>
          <w:rFonts w:hint="eastAsia" w:ascii="宋体" w:hAnsi="宋体" w:cs="宋体"/>
          <w:color w:val="FF0000"/>
          <w:sz w:val="21"/>
          <w:szCs w:val="21"/>
          <w:highlight w:val="none"/>
          <w:shd w:val="clear" w:color="auto" w:fill="FFFFFF"/>
        </w:rPr>
        <w:t>）</w:t>
      </w:r>
      <w:r>
        <w:rPr>
          <w:rFonts w:eastAsia="微软雅黑"/>
          <w:color w:val="FF0000"/>
          <w:sz w:val="21"/>
          <w:szCs w:val="21"/>
          <w:highlight w:val="none"/>
          <w:shd w:val="clear" w:color="auto" w:fill="FFFFFF"/>
        </w:rPr>
        <w:t>17:00</w:t>
      </w:r>
      <w:r>
        <w:rPr>
          <w:rFonts w:hint="eastAsia" w:ascii="宋体" w:hAnsi="宋体" w:cs="宋体"/>
          <w:color w:val="FF0000"/>
          <w:sz w:val="21"/>
          <w:szCs w:val="21"/>
          <w:highlight w:val="none"/>
          <w:shd w:val="clear" w:color="auto" w:fill="FFFFFF"/>
        </w:rPr>
        <w:t>前 </w:t>
      </w:r>
      <w:r>
        <w:rPr>
          <w:rFonts w:hint="eastAsia" w:ascii="宋体" w:hAnsi="宋体" w:cs="宋体"/>
          <w:color w:val="222222"/>
          <w:sz w:val="21"/>
          <w:szCs w:val="21"/>
          <w:highlight w:val="none"/>
          <w:shd w:val="clear" w:color="auto" w:fill="FFFFFF"/>
        </w:rPr>
        <w:t>将以下报名资料发送至邮箱</w:t>
      </w:r>
      <w:r>
        <w:rPr>
          <w:highlight w:val="none"/>
        </w:rPr>
        <w:fldChar w:fldCharType="begin"/>
      </w:r>
      <w:r>
        <w:rPr>
          <w:highlight w:val="none"/>
        </w:rPr>
        <w:instrText xml:space="preserve"> HYPERLINK "http://www.sugh.net/Html/News/Articles/sughztb@szu.edu.cn" </w:instrText>
      </w:r>
      <w:r>
        <w:rPr>
          <w:highlight w:val="none"/>
        </w:rPr>
        <w:fldChar w:fldCharType="separate"/>
      </w:r>
      <w:r>
        <w:rPr>
          <w:rStyle w:val="63"/>
          <w:rFonts w:hint="eastAsia" w:ascii="宋体" w:hAnsi="宋体" w:cs="宋体"/>
          <w:sz w:val="21"/>
          <w:szCs w:val="21"/>
          <w:highlight w:val="none"/>
          <w:shd w:val="clear" w:color="auto" w:fill="FFFFFF"/>
        </w:rPr>
        <w:t>sughztb@szu.edu.cn</w:t>
      </w:r>
      <w:r>
        <w:rPr>
          <w:rStyle w:val="63"/>
          <w:rFonts w:hint="eastAsia" w:ascii="宋体" w:hAnsi="宋体" w:cs="宋体"/>
          <w:sz w:val="21"/>
          <w:szCs w:val="21"/>
          <w:highlight w:val="none"/>
          <w:shd w:val="clear" w:color="auto" w:fill="FFFFFF"/>
        </w:rPr>
        <w:fldChar w:fldCharType="end"/>
      </w:r>
      <w:r>
        <w:rPr>
          <w:rFonts w:hint="eastAsia" w:ascii="宋体" w:hAnsi="宋体" w:cs="宋体"/>
          <w:color w:val="333333"/>
          <w:sz w:val="21"/>
          <w:szCs w:val="21"/>
          <w:highlight w:val="none"/>
          <w:shd w:val="clear" w:color="auto" w:fill="FFFFFF"/>
        </w:rPr>
        <w:t>：</w:t>
      </w:r>
    </w:p>
    <w:p>
      <w:pPr>
        <w:pStyle w:val="48"/>
        <w:widowControl/>
        <w:shd w:val="clear" w:color="auto" w:fill="FFFFFF"/>
        <w:spacing w:beforeAutospacing="0" w:afterAutospacing="0" w:line="420" w:lineRule="atLeast"/>
        <w:ind w:firstLine="420"/>
        <w:rPr>
          <w:rFonts w:ascii="微软雅黑" w:hAnsi="微软雅黑" w:eastAsia="微软雅黑" w:cs="微软雅黑"/>
          <w:color w:val="333333"/>
          <w:sz w:val="21"/>
          <w:szCs w:val="21"/>
          <w:highlight w:val="none"/>
        </w:rPr>
      </w:pPr>
      <w:r>
        <w:rPr>
          <w:rFonts w:eastAsia="微软雅黑"/>
          <w:color w:val="222222"/>
          <w:sz w:val="21"/>
          <w:szCs w:val="21"/>
          <w:highlight w:val="none"/>
          <w:shd w:val="clear" w:color="auto" w:fill="FFFFFF"/>
        </w:rPr>
        <w:t>1） </w:t>
      </w:r>
      <w:r>
        <w:rPr>
          <w:rFonts w:hint="eastAsia" w:ascii="宋体" w:hAnsi="宋体" w:cs="宋体"/>
          <w:color w:val="222222"/>
          <w:sz w:val="21"/>
          <w:szCs w:val="21"/>
          <w:highlight w:val="none"/>
          <w:shd w:val="clear" w:color="auto" w:fill="FFFFFF"/>
        </w:rPr>
        <w:t>公司营业执照复印件（加盖公章）；</w:t>
      </w:r>
    </w:p>
    <w:p>
      <w:pPr>
        <w:pStyle w:val="48"/>
        <w:widowControl/>
        <w:shd w:val="clear" w:color="auto" w:fill="FFFFFF"/>
        <w:spacing w:beforeAutospacing="0" w:afterAutospacing="0" w:line="420" w:lineRule="atLeast"/>
        <w:ind w:firstLine="420"/>
        <w:rPr>
          <w:rFonts w:ascii="微软雅黑" w:hAnsi="微软雅黑" w:eastAsia="微软雅黑" w:cs="微软雅黑"/>
          <w:color w:val="333333"/>
          <w:sz w:val="21"/>
          <w:szCs w:val="21"/>
          <w:highlight w:val="none"/>
        </w:rPr>
      </w:pPr>
      <w:r>
        <w:rPr>
          <w:rFonts w:eastAsia="微软雅黑"/>
          <w:color w:val="222222"/>
          <w:sz w:val="21"/>
          <w:szCs w:val="21"/>
          <w:highlight w:val="none"/>
          <w:shd w:val="clear" w:color="auto" w:fill="FFFFFF"/>
        </w:rPr>
        <w:t>2） </w:t>
      </w:r>
      <w:r>
        <w:rPr>
          <w:rFonts w:hint="eastAsia" w:ascii="宋体" w:hAnsi="宋体" w:cs="宋体"/>
          <w:color w:val="222222"/>
          <w:sz w:val="21"/>
          <w:szCs w:val="21"/>
          <w:highlight w:val="none"/>
          <w:shd w:val="clear" w:color="auto" w:fill="FFFFFF"/>
        </w:rPr>
        <w:t>投标报名表（签名加盖公章）。</w:t>
      </w: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highlight w:val="none"/>
        </w:rPr>
      </w:pPr>
      <w:r>
        <w:rPr>
          <w:rFonts w:hint="eastAsia" w:ascii="宋体" w:hAnsi="宋体" w:cs="宋体"/>
          <w:color w:val="222222"/>
          <w:sz w:val="21"/>
          <w:szCs w:val="21"/>
          <w:highlight w:val="none"/>
          <w:shd w:val="clear" w:color="auto" w:fill="FFFFFF"/>
        </w:rPr>
        <w:t>      备 注：投标报名表下载链接：</w:t>
      </w:r>
      <w:r>
        <w:rPr>
          <w:highlight w:val="none"/>
        </w:rPr>
        <w:fldChar w:fldCharType="begin"/>
      </w:r>
      <w:r>
        <w:rPr>
          <w:highlight w:val="none"/>
        </w:rPr>
        <w:instrText xml:space="preserve"> HYPERLINK "https://sugh.szu.edu.cn/Html/News/Articles/3230.html" </w:instrText>
      </w:r>
      <w:r>
        <w:rPr>
          <w:highlight w:val="none"/>
        </w:rPr>
        <w:fldChar w:fldCharType="separate"/>
      </w:r>
      <w:r>
        <w:rPr>
          <w:rStyle w:val="63"/>
          <w:rFonts w:eastAsia="微软雅黑"/>
          <w:sz w:val="21"/>
          <w:szCs w:val="21"/>
          <w:highlight w:val="none"/>
          <w:shd w:val="clear" w:color="auto" w:fill="FFFFFF"/>
        </w:rPr>
        <w:t>https://sugh.szu.edu.cn/Html/News/Articles/3230.html</w:t>
      </w:r>
      <w:r>
        <w:rPr>
          <w:rStyle w:val="63"/>
          <w:rFonts w:eastAsia="微软雅黑"/>
          <w:sz w:val="21"/>
          <w:szCs w:val="21"/>
          <w:highlight w:val="none"/>
          <w:shd w:val="clear" w:color="auto" w:fill="FFFFFF"/>
        </w:rPr>
        <w:fldChar w:fldCharType="end"/>
      </w:r>
      <w:r>
        <w:rPr>
          <w:rFonts w:hint="eastAsia" w:ascii="宋体" w:hAnsi="宋体" w:cs="宋体"/>
          <w:color w:val="222222"/>
          <w:sz w:val="21"/>
          <w:szCs w:val="21"/>
          <w:highlight w:val="none"/>
          <w:shd w:val="clear" w:color="auto" w:fill="FFFFFF"/>
        </w:rPr>
        <w:t>。</w:t>
      </w: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highlight w:val="none"/>
        </w:rPr>
      </w:pP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highlight w:val="none"/>
        </w:rPr>
      </w:pPr>
      <w:r>
        <w:rPr>
          <w:rStyle w:val="59"/>
          <w:rFonts w:hint="eastAsia" w:ascii="宋体" w:hAnsi="宋体" w:cs="宋体"/>
          <w:color w:val="333333"/>
          <w:sz w:val="21"/>
          <w:szCs w:val="21"/>
          <w:highlight w:val="none"/>
          <w:shd w:val="clear" w:color="auto" w:fill="FFFFFF"/>
        </w:rPr>
        <w:t>八、关于质疑：</w:t>
      </w:r>
      <w:r>
        <w:rPr>
          <w:rFonts w:hint="eastAsia" w:ascii="宋体" w:hAnsi="宋体" w:cs="宋体"/>
          <w:color w:val="333333"/>
          <w:sz w:val="21"/>
          <w:szCs w:val="21"/>
          <w:highlight w:val="none"/>
          <w:shd w:val="clear" w:color="auto" w:fill="FFFFFF"/>
        </w:rPr>
        <w:t>供应商认为采购文件的内容损害其权益的，应在采购文件公布之日起五个工作日内提出。质疑函应以书面形式提交到深圳大学总医院招投标管理办公室，逾期不予受理。质疑函须加盖投标人公章。</w:t>
      </w: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highlight w:val="none"/>
        </w:rPr>
      </w:pPr>
      <w:r>
        <w:rPr>
          <w:rFonts w:hint="eastAsia" w:ascii="宋体" w:hAnsi="宋体" w:cs="宋体"/>
          <w:color w:val="333333"/>
          <w:sz w:val="21"/>
          <w:szCs w:val="21"/>
          <w:highlight w:val="none"/>
          <w:shd w:val="clear" w:color="auto" w:fill="FFFFFF"/>
        </w:rPr>
        <w:t>答疑结果将在网站</w:t>
      </w:r>
      <w:r>
        <w:rPr>
          <w:highlight w:val="none"/>
        </w:rPr>
        <w:fldChar w:fldCharType="begin"/>
      </w:r>
      <w:r>
        <w:rPr>
          <w:highlight w:val="none"/>
        </w:rPr>
        <w:instrText xml:space="preserve"> HYPERLINK "http://www.sugh.net/Html/News/Columns/4/Index.html" </w:instrText>
      </w:r>
      <w:r>
        <w:rPr>
          <w:highlight w:val="none"/>
        </w:rPr>
        <w:fldChar w:fldCharType="separate"/>
      </w:r>
      <w:r>
        <w:rPr>
          <w:rStyle w:val="63"/>
          <w:rFonts w:eastAsia="微软雅黑"/>
          <w:sz w:val="21"/>
          <w:szCs w:val="21"/>
          <w:highlight w:val="none"/>
          <w:shd w:val="clear" w:color="auto" w:fill="FFFFFF"/>
        </w:rPr>
        <w:t>http://www.sugh.net/Html/News/Columns/4/Index.html </w:t>
      </w:r>
      <w:r>
        <w:rPr>
          <w:rStyle w:val="63"/>
          <w:rFonts w:eastAsia="微软雅黑"/>
          <w:sz w:val="21"/>
          <w:szCs w:val="21"/>
          <w:highlight w:val="none"/>
          <w:shd w:val="clear" w:color="auto" w:fill="FFFFFF"/>
        </w:rPr>
        <w:fldChar w:fldCharType="end"/>
      </w:r>
      <w:r>
        <w:rPr>
          <w:rFonts w:hint="eastAsia" w:ascii="宋体" w:hAnsi="宋体" w:cs="宋体"/>
          <w:color w:val="333333"/>
          <w:sz w:val="21"/>
          <w:szCs w:val="21"/>
          <w:highlight w:val="none"/>
          <w:shd w:val="clear" w:color="auto" w:fill="FFFFFF"/>
        </w:rPr>
        <w:t>“招标公告”中公布，望投标人予以关注。</w:t>
      </w: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highlight w:val="none"/>
        </w:rPr>
      </w:pP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highlight w:val="none"/>
        </w:rPr>
      </w:pPr>
      <w:r>
        <w:rPr>
          <w:rStyle w:val="59"/>
          <w:rFonts w:hint="eastAsia" w:ascii="宋体" w:hAnsi="宋体" w:cs="宋体"/>
          <w:color w:val="333333"/>
          <w:sz w:val="21"/>
          <w:szCs w:val="21"/>
          <w:highlight w:val="none"/>
          <w:shd w:val="clear" w:color="auto" w:fill="FFFFFF"/>
        </w:rPr>
        <w:t>九、投标截止时间：</w:t>
      </w:r>
      <w:r>
        <w:rPr>
          <w:rFonts w:hint="eastAsia" w:ascii="宋体" w:hAnsi="宋体" w:cs="宋体"/>
          <w:color w:val="333333"/>
          <w:sz w:val="21"/>
          <w:szCs w:val="21"/>
          <w:highlight w:val="none"/>
          <w:shd w:val="clear" w:color="auto" w:fill="FFFFFF"/>
        </w:rPr>
        <w:t>所有投标文件应于</w:t>
      </w:r>
      <w:r>
        <w:rPr>
          <w:rFonts w:eastAsia="微软雅黑"/>
          <w:color w:val="FF0000"/>
          <w:sz w:val="21"/>
          <w:szCs w:val="21"/>
          <w:highlight w:val="none"/>
          <w:shd w:val="clear" w:color="auto" w:fill="FFFFFF"/>
        </w:rPr>
        <w:t>2020</w:t>
      </w:r>
      <w:r>
        <w:rPr>
          <w:rFonts w:hint="eastAsia" w:ascii="宋体" w:hAnsi="宋体" w:cs="宋体"/>
          <w:color w:val="FF0000"/>
          <w:sz w:val="21"/>
          <w:szCs w:val="21"/>
          <w:highlight w:val="none"/>
          <w:shd w:val="clear" w:color="auto" w:fill="FFFFFF"/>
        </w:rPr>
        <w:t>年</w:t>
      </w:r>
      <w:r>
        <w:rPr>
          <w:rFonts w:hint="eastAsia" w:eastAsia="微软雅黑"/>
          <w:color w:val="FF0000"/>
          <w:sz w:val="21"/>
          <w:szCs w:val="21"/>
          <w:highlight w:val="none"/>
          <w:shd w:val="clear" w:color="auto" w:fill="FFFFFF"/>
          <w:lang w:val="en-US" w:eastAsia="zh-CN"/>
        </w:rPr>
        <w:t>12</w:t>
      </w:r>
      <w:r>
        <w:rPr>
          <w:rFonts w:hint="eastAsia" w:ascii="宋体" w:hAnsi="宋体" w:cs="宋体"/>
          <w:color w:val="FF0000"/>
          <w:sz w:val="21"/>
          <w:szCs w:val="21"/>
          <w:highlight w:val="none"/>
          <w:shd w:val="clear" w:color="auto" w:fill="FFFFFF"/>
        </w:rPr>
        <w:t>月</w:t>
      </w:r>
      <w:r>
        <w:rPr>
          <w:rFonts w:hint="eastAsia" w:eastAsia="微软雅黑"/>
          <w:color w:val="FF0000"/>
          <w:sz w:val="21"/>
          <w:szCs w:val="21"/>
          <w:highlight w:val="none"/>
          <w:shd w:val="clear" w:color="auto" w:fill="FFFFFF"/>
          <w:lang w:val="en-US" w:eastAsia="zh-CN"/>
        </w:rPr>
        <w:t>10</w:t>
      </w:r>
      <w:r>
        <w:rPr>
          <w:rFonts w:hint="eastAsia" w:ascii="宋体" w:hAnsi="宋体" w:cs="宋体"/>
          <w:color w:val="FF0000"/>
          <w:sz w:val="21"/>
          <w:szCs w:val="21"/>
          <w:highlight w:val="none"/>
          <w:shd w:val="clear" w:color="auto" w:fill="FFFFFF"/>
        </w:rPr>
        <w:t>日（星期</w:t>
      </w:r>
      <w:r>
        <w:rPr>
          <w:rFonts w:hint="eastAsia" w:ascii="宋体" w:hAnsi="宋体" w:cs="宋体"/>
          <w:color w:val="FF0000"/>
          <w:sz w:val="21"/>
          <w:szCs w:val="21"/>
          <w:highlight w:val="none"/>
          <w:shd w:val="clear" w:color="auto" w:fill="FFFFFF"/>
          <w:lang w:eastAsia="zh-CN"/>
        </w:rPr>
        <w:t>四</w:t>
      </w:r>
      <w:r>
        <w:rPr>
          <w:rFonts w:hint="eastAsia" w:ascii="宋体" w:hAnsi="宋体" w:cs="宋体"/>
          <w:color w:val="FF0000"/>
          <w:sz w:val="21"/>
          <w:szCs w:val="21"/>
          <w:highlight w:val="none"/>
          <w:shd w:val="clear" w:color="auto" w:fill="FFFFFF"/>
        </w:rPr>
        <w:t>）上午</w:t>
      </w:r>
      <w:r>
        <w:rPr>
          <w:rFonts w:eastAsia="微软雅黑"/>
          <w:color w:val="FF0000"/>
          <w:sz w:val="21"/>
          <w:szCs w:val="21"/>
          <w:highlight w:val="none"/>
          <w:shd w:val="clear" w:color="auto" w:fill="FFFFFF"/>
        </w:rPr>
        <w:t>9:</w:t>
      </w:r>
      <w:r>
        <w:rPr>
          <w:rFonts w:hint="eastAsia" w:eastAsia="微软雅黑"/>
          <w:color w:val="FF0000"/>
          <w:sz w:val="21"/>
          <w:szCs w:val="21"/>
          <w:highlight w:val="none"/>
          <w:shd w:val="clear" w:color="auto" w:fill="FFFFFF"/>
          <w:lang w:val="en-US" w:eastAsia="zh-CN"/>
        </w:rPr>
        <w:t>0</w:t>
      </w:r>
      <w:r>
        <w:rPr>
          <w:rFonts w:eastAsia="微软雅黑"/>
          <w:color w:val="FF0000"/>
          <w:sz w:val="21"/>
          <w:szCs w:val="21"/>
          <w:highlight w:val="none"/>
          <w:shd w:val="clear" w:color="auto" w:fill="FFFFFF"/>
        </w:rPr>
        <w:t>0 (</w:t>
      </w:r>
      <w:r>
        <w:rPr>
          <w:rFonts w:hint="eastAsia" w:ascii="宋体" w:hAnsi="宋体" w:cs="宋体"/>
          <w:color w:val="FF0000"/>
          <w:sz w:val="21"/>
          <w:szCs w:val="21"/>
          <w:highlight w:val="none"/>
          <w:shd w:val="clear" w:color="auto" w:fill="FFFFFF"/>
        </w:rPr>
        <w:t>北京时间</w:t>
      </w:r>
      <w:r>
        <w:rPr>
          <w:rFonts w:eastAsia="微软雅黑"/>
          <w:color w:val="FF0000"/>
          <w:sz w:val="21"/>
          <w:szCs w:val="21"/>
          <w:highlight w:val="none"/>
          <w:shd w:val="clear" w:color="auto" w:fill="FFFFFF"/>
        </w:rPr>
        <w:t>)</w:t>
      </w:r>
      <w:r>
        <w:rPr>
          <w:rFonts w:hint="eastAsia" w:ascii="宋体" w:hAnsi="宋体" w:cs="宋体"/>
          <w:color w:val="333333"/>
          <w:sz w:val="21"/>
          <w:szCs w:val="21"/>
          <w:highlight w:val="none"/>
          <w:shd w:val="clear" w:color="auto" w:fill="FFFFFF"/>
        </w:rPr>
        <w:t>之前递交到深圳大学总医院招投标管理办公室。</w:t>
      </w:r>
    </w:p>
    <w:p>
      <w:pPr>
        <w:pStyle w:val="48"/>
        <w:widowControl/>
        <w:shd w:val="clear" w:color="auto" w:fill="FFFFFF"/>
        <w:spacing w:beforeAutospacing="0" w:afterAutospacing="0" w:line="420" w:lineRule="atLeast"/>
        <w:rPr>
          <w:rFonts w:ascii="微软雅黑" w:hAnsi="微软雅黑" w:eastAsia="微软雅黑" w:cs="微软雅黑"/>
          <w:color w:val="333333"/>
          <w:sz w:val="21"/>
          <w:szCs w:val="21"/>
          <w:highlight w:val="none"/>
        </w:rPr>
      </w:pPr>
    </w:p>
    <w:p>
      <w:pPr>
        <w:pStyle w:val="48"/>
        <w:widowControl/>
        <w:shd w:val="clear" w:color="auto" w:fill="FFFFFF"/>
        <w:spacing w:before="105" w:beforeAutospacing="0" w:after="105" w:afterAutospacing="0" w:line="420" w:lineRule="atLeast"/>
        <w:rPr>
          <w:rFonts w:ascii="微软雅黑" w:hAnsi="微软雅黑" w:eastAsia="微软雅黑" w:cs="微软雅黑"/>
          <w:color w:val="333333"/>
          <w:sz w:val="21"/>
          <w:szCs w:val="21"/>
        </w:rPr>
      </w:pPr>
      <w:r>
        <w:rPr>
          <w:rStyle w:val="59"/>
          <w:rFonts w:hint="eastAsia" w:ascii="宋体" w:hAnsi="宋体" w:cs="宋体"/>
          <w:color w:val="333333"/>
          <w:sz w:val="21"/>
          <w:szCs w:val="21"/>
          <w:highlight w:val="none"/>
          <w:shd w:val="clear" w:color="auto" w:fill="FFFFFF"/>
        </w:rPr>
        <w:t>十、开标时间和地点：</w:t>
      </w:r>
      <w:r>
        <w:rPr>
          <w:rFonts w:hint="eastAsia" w:ascii="宋体" w:hAnsi="宋体" w:cs="宋体"/>
          <w:color w:val="333333"/>
          <w:sz w:val="21"/>
          <w:szCs w:val="21"/>
          <w:highlight w:val="none"/>
          <w:shd w:val="clear" w:color="auto" w:fill="FFFFFF"/>
        </w:rPr>
        <w:t>定于 </w:t>
      </w:r>
      <w:r>
        <w:rPr>
          <w:rFonts w:eastAsia="微软雅黑"/>
          <w:color w:val="FF0000"/>
          <w:sz w:val="21"/>
          <w:szCs w:val="21"/>
          <w:highlight w:val="none"/>
          <w:shd w:val="clear" w:color="auto" w:fill="FFFFFF"/>
        </w:rPr>
        <w:t>2020</w:t>
      </w:r>
      <w:r>
        <w:rPr>
          <w:rFonts w:hint="eastAsia" w:ascii="宋体" w:hAnsi="宋体" w:cs="宋体"/>
          <w:color w:val="FF0000"/>
          <w:sz w:val="21"/>
          <w:szCs w:val="21"/>
          <w:highlight w:val="none"/>
          <w:shd w:val="clear" w:color="auto" w:fill="FFFFFF"/>
        </w:rPr>
        <w:t>年</w:t>
      </w:r>
      <w:r>
        <w:rPr>
          <w:rFonts w:hint="eastAsia" w:eastAsia="微软雅黑"/>
          <w:color w:val="FF0000"/>
          <w:sz w:val="21"/>
          <w:szCs w:val="21"/>
          <w:highlight w:val="none"/>
          <w:shd w:val="clear" w:color="auto" w:fill="FFFFFF"/>
          <w:lang w:val="en-US" w:eastAsia="zh-CN"/>
        </w:rPr>
        <w:t>12</w:t>
      </w:r>
      <w:r>
        <w:rPr>
          <w:rFonts w:hint="eastAsia" w:ascii="宋体" w:hAnsi="宋体" w:cs="宋体"/>
          <w:color w:val="FF0000"/>
          <w:sz w:val="21"/>
          <w:szCs w:val="21"/>
          <w:highlight w:val="none"/>
          <w:shd w:val="clear" w:color="auto" w:fill="FFFFFF"/>
        </w:rPr>
        <w:t>月</w:t>
      </w:r>
      <w:r>
        <w:rPr>
          <w:rFonts w:hint="eastAsia" w:eastAsia="微软雅黑"/>
          <w:color w:val="FF0000"/>
          <w:sz w:val="21"/>
          <w:szCs w:val="21"/>
          <w:highlight w:val="none"/>
          <w:shd w:val="clear" w:color="auto" w:fill="FFFFFF"/>
          <w:lang w:val="en-US" w:eastAsia="zh-CN"/>
        </w:rPr>
        <w:t>10</w:t>
      </w:r>
      <w:r>
        <w:rPr>
          <w:rFonts w:hint="eastAsia" w:ascii="宋体" w:hAnsi="宋体" w:cs="宋体"/>
          <w:color w:val="FF0000"/>
          <w:sz w:val="21"/>
          <w:szCs w:val="21"/>
          <w:highlight w:val="none"/>
          <w:shd w:val="clear" w:color="auto" w:fill="FFFFFF"/>
        </w:rPr>
        <w:t>日（星期</w:t>
      </w:r>
      <w:r>
        <w:rPr>
          <w:rFonts w:hint="eastAsia" w:ascii="宋体" w:hAnsi="宋体" w:cs="宋体"/>
          <w:color w:val="FF0000"/>
          <w:sz w:val="21"/>
          <w:szCs w:val="21"/>
          <w:highlight w:val="none"/>
          <w:shd w:val="clear" w:color="auto" w:fill="FFFFFF"/>
          <w:lang w:eastAsia="zh-CN"/>
        </w:rPr>
        <w:t>四</w:t>
      </w:r>
      <w:r>
        <w:rPr>
          <w:rFonts w:hint="eastAsia" w:ascii="宋体" w:hAnsi="宋体" w:cs="宋体"/>
          <w:color w:val="FF0000"/>
          <w:sz w:val="21"/>
          <w:szCs w:val="21"/>
          <w:highlight w:val="none"/>
          <w:shd w:val="clear" w:color="auto" w:fill="FFFFFF"/>
        </w:rPr>
        <w:t>）上午</w:t>
      </w:r>
      <w:r>
        <w:rPr>
          <w:rFonts w:eastAsia="微软雅黑"/>
          <w:color w:val="FF0000"/>
          <w:sz w:val="21"/>
          <w:szCs w:val="21"/>
          <w:highlight w:val="none"/>
          <w:shd w:val="clear" w:color="auto" w:fill="FFFFFF"/>
        </w:rPr>
        <w:t>9:</w:t>
      </w:r>
      <w:r>
        <w:rPr>
          <w:rFonts w:hint="eastAsia" w:eastAsia="微软雅黑"/>
          <w:color w:val="FF0000"/>
          <w:sz w:val="21"/>
          <w:szCs w:val="21"/>
          <w:highlight w:val="none"/>
          <w:shd w:val="clear" w:color="auto" w:fill="FFFFFF"/>
          <w:lang w:val="en-US" w:eastAsia="zh-CN"/>
        </w:rPr>
        <w:t>0</w:t>
      </w:r>
      <w:r>
        <w:rPr>
          <w:rFonts w:eastAsia="微软雅黑"/>
          <w:color w:val="FF0000"/>
          <w:sz w:val="21"/>
          <w:szCs w:val="21"/>
          <w:highlight w:val="none"/>
          <w:shd w:val="clear" w:color="auto" w:fill="FFFFFF"/>
        </w:rPr>
        <w:t>0 (</w:t>
      </w:r>
      <w:r>
        <w:rPr>
          <w:rFonts w:hint="eastAsia" w:ascii="宋体" w:hAnsi="宋体" w:cs="宋体"/>
          <w:color w:val="FF0000"/>
          <w:sz w:val="21"/>
          <w:szCs w:val="21"/>
          <w:highlight w:val="none"/>
          <w:shd w:val="clear" w:color="auto" w:fill="FFFFFF"/>
        </w:rPr>
        <w:t>北京时间</w:t>
      </w:r>
      <w:r>
        <w:rPr>
          <w:rFonts w:eastAsia="微软雅黑"/>
          <w:color w:val="FF0000"/>
          <w:sz w:val="21"/>
          <w:szCs w:val="21"/>
          <w:highlight w:val="none"/>
          <w:shd w:val="clear" w:color="auto" w:fill="FFFFFF"/>
        </w:rPr>
        <w:t>)</w:t>
      </w:r>
      <w:r>
        <w:rPr>
          <w:rFonts w:hint="eastAsia" w:ascii="宋体" w:hAnsi="宋体" w:cs="宋体"/>
          <w:color w:val="333333"/>
          <w:sz w:val="21"/>
          <w:szCs w:val="21"/>
          <w:highlight w:val="none"/>
          <w:shd w:val="clear" w:color="auto" w:fill="FFFFFF"/>
        </w:rPr>
        <w:t>，在深圳大学总医院招投标管理办公室公开开标。开标室：</w:t>
      </w:r>
      <w:r>
        <w:rPr>
          <w:rFonts w:hint="eastAsia" w:ascii="宋体" w:hAnsi="宋体" w:cs="宋体"/>
          <w:color w:val="FF0000"/>
          <w:sz w:val="21"/>
          <w:szCs w:val="21"/>
          <w:highlight w:val="none"/>
          <w:shd w:val="clear" w:color="auto" w:fill="FFFFFF"/>
        </w:rPr>
        <w:t>深圳大学总医院教学楼1楼招投标管理办公室</w:t>
      </w:r>
      <w:r>
        <w:rPr>
          <w:color w:val="FF0000"/>
          <w:sz w:val="21"/>
          <w:szCs w:val="21"/>
          <w:highlight w:val="none"/>
          <w:shd w:val="clear" w:color="auto" w:fill="FFFFFF"/>
        </w:rPr>
        <w:t>10</w:t>
      </w:r>
      <w:r>
        <w:rPr>
          <w:rFonts w:hint="eastAsia" w:ascii="宋体" w:hAnsi="宋体" w:cs="宋体"/>
          <w:color w:val="FF0000"/>
          <w:sz w:val="21"/>
          <w:szCs w:val="21"/>
          <w:highlight w:val="none"/>
          <w:shd w:val="clear" w:color="auto" w:fill="FFFFFF"/>
        </w:rPr>
        <w:t>4室 </w:t>
      </w:r>
      <w:r>
        <w:rPr>
          <w:rFonts w:hint="eastAsia" w:ascii="宋体" w:hAnsi="宋体" w:cs="宋体"/>
          <w:color w:val="333333"/>
          <w:sz w:val="21"/>
          <w:szCs w:val="21"/>
          <w:highlight w:val="none"/>
          <w:shd w:val="clear" w:color="auto" w:fill="FFFFFF"/>
        </w:rPr>
        <w:t>。届时请参加投标的代表出席开标仪式（投标文件直接送至开</w:t>
      </w:r>
      <w:r>
        <w:rPr>
          <w:rFonts w:hint="eastAsia" w:ascii="宋体" w:hAnsi="宋体" w:cs="宋体"/>
          <w:color w:val="333333"/>
          <w:sz w:val="21"/>
          <w:szCs w:val="21"/>
          <w:shd w:val="clear" w:color="auto" w:fill="FFFFFF"/>
        </w:rPr>
        <w:t>标地点）。</w:t>
      </w:r>
    </w:p>
    <w:p>
      <w:pPr>
        <w:pStyle w:val="48"/>
        <w:widowControl/>
        <w:shd w:val="clear" w:color="auto" w:fill="FFFFFF"/>
        <w:spacing w:before="105" w:beforeAutospacing="0" w:after="105" w:afterAutospacing="0" w:line="420" w:lineRule="atLeast"/>
        <w:rPr>
          <w:rFonts w:ascii="微软雅黑" w:hAnsi="微软雅黑" w:eastAsia="微软雅黑" w:cs="微软雅黑"/>
          <w:color w:val="333333"/>
          <w:sz w:val="21"/>
          <w:szCs w:val="21"/>
        </w:rPr>
      </w:pPr>
      <w:r>
        <w:rPr>
          <w:rFonts w:eastAsia="微软雅黑"/>
          <w:color w:val="333333"/>
          <w:sz w:val="21"/>
          <w:szCs w:val="21"/>
          <w:shd w:val="clear" w:color="auto" w:fill="FFFFFF"/>
        </w:rPr>
        <w:t> </w:t>
      </w:r>
      <w:bookmarkStart w:id="31" w:name="_GoBack"/>
      <w:bookmarkEnd w:id="31"/>
    </w:p>
    <w:p>
      <w:pPr>
        <w:pStyle w:val="48"/>
        <w:widowControl/>
        <w:shd w:val="clear" w:color="auto" w:fill="FFFFFF"/>
        <w:spacing w:beforeAutospacing="0" w:afterAutospacing="0" w:line="240" w:lineRule="atLeast"/>
        <w:rPr>
          <w:rFonts w:ascii="微软雅黑" w:hAnsi="微软雅黑" w:eastAsia="微软雅黑" w:cs="微软雅黑"/>
          <w:color w:val="333333"/>
          <w:sz w:val="21"/>
          <w:szCs w:val="21"/>
        </w:rPr>
      </w:pPr>
      <w:r>
        <w:rPr>
          <w:rStyle w:val="59"/>
          <w:rFonts w:hint="eastAsia" w:ascii="宋体" w:hAnsi="宋体" w:cs="宋体"/>
          <w:color w:val="333333"/>
          <w:sz w:val="21"/>
          <w:szCs w:val="21"/>
          <w:shd w:val="clear" w:color="auto" w:fill="FFFFFF"/>
        </w:rPr>
        <w:t>十一、重要提示：</w:t>
      </w:r>
    </w:p>
    <w:p>
      <w:pPr>
        <w:pStyle w:val="48"/>
        <w:widowControl/>
        <w:shd w:val="clear" w:color="auto" w:fill="FFFFFF"/>
        <w:spacing w:beforeAutospacing="0" w:afterAutospacing="0" w:line="240" w:lineRule="atLeast"/>
        <w:rPr>
          <w:rFonts w:ascii="微软雅黑" w:hAnsi="微软雅黑" w:eastAsia="微软雅黑" w:cs="微软雅黑"/>
          <w:color w:val="333333"/>
          <w:sz w:val="21"/>
          <w:szCs w:val="21"/>
        </w:rPr>
      </w:pPr>
      <w:r>
        <w:rPr>
          <w:rFonts w:eastAsia="微软雅黑"/>
          <w:color w:val="333333"/>
          <w:sz w:val="21"/>
          <w:szCs w:val="21"/>
          <w:shd w:val="clear" w:color="auto" w:fill="FFFFFF"/>
        </w:rPr>
        <w:t>1、</w:t>
      </w:r>
      <w:r>
        <w:rPr>
          <w:rFonts w:hint="eastAsia" w:ascii="宋体" w:hAnsi="宋体" w:cs="宋体"/>
          <w:color w:val="333333"/>
          <w:sz w:val="21"/>
          <w:szCs w:val="21"/>
          <w:shd w:val="clear" w:color="auto" w:fill="FFFFFF"/>
        </w:rPr>
        <w:t>警示条款：深圳大学总医院招投标管理办公室 有权对所有投标供应商就本项目招标文件要求提供的相关证明材料（原件）进行审查。供应商提供虚假资料被查实的，则可能面临被取消本项目中标资格、列入不良行为记录名单和三年内禁止参与深圳大学总医院采购活动的风险。</w:t>
      </w:r>
    </w:p>
    <w:p>
      <w:pPr>
        <w:pStyle w:val="48"/>
        <w:widowControl/>
        <w:shd w:val="clear" w:color="auto" w:fill="FFFFFF"/>
        <w:spacing w:beforeAutospacing="0" w:afterAutospacing="0" w:line="240" w:lineRule="atLeast"/>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2、本招标公告及本项目招标文件所涉及的时间一律为北京时间。投标人有义务在招标活动期间浏览深圳大学总医院官网“招标公告”（</w:t>
      </w:r>
      <w:r>
        <w:fldChar w:fldCharType="begin"/>
      </w:r>
      <w:r>
        <w:instrText xml:space="preserve"> HYPERLINK "http://www.sugh.net/Html/News/Columns/4/Index.html" </w:instrText>
      </w:r>
      <w:r>
        <w:fldChar w:fldCharType="separate"/>
      </w:r>
      <w:r>
        <w:rPr>
          <w:rStyle w:val="63"/>
          <w:rFonts w:hint="eastAsia" w:ascii="宋体" w:hAnsi="宋体" w:cs="宋体"/>
          <w:sz w:val="21"/>
          <w:szCs w:val="21"/>
          <w:shd w:val="clear" w:color="auto" w:fill="FFFFFF"/>
        </w:rPr>
        <w:t>http://www.sugh.net/Html/News/Columns/4/Index.html</w:t>
      </w:r>
      <w:r>
        <w:rPr>
          <w:rStyle w:val="63"/>
          <w:rFonts w:hint="eastAsia" w:ascii="宋体" w:hAnsi="宋体" w:cs="宋体"/>
          <w:sz w:val="21"/>
          <w:szCs w:val="21"/>
          <w:shd w:val="clear" w:color="auto" w:fill="FFFFFF"/>
        </w:rPr>
        <w:fldChar w:fldCharType="end"/>
      </w:r>
      <w:r>
        <w:rPr>
          <w:rFonts w:hint="eastAsia" w:ascii="宋体" w:hAnsi="宋体" w:cs="宋体"/>
          <w:color w:val="333333"/>
          <w:sz w:val="21"/>
          <w:szCs w:val="21"/>
          <w:shd w:val="clear" w:color="auto" w:fill="FFFFFF"/>
        </w:rPr>
        <w:t>），在深圳大学总医院官网“招标公告”上公布的与本次招标项目有关的信息视为已送达各投标人。</w:t>
      </w:r>
    </w:p>
    <w:p>
      <w:pPr>
        <w:pStyle w:val="48"/>
        <w:widowControl/>
        <w:shd w:val="clear" w:color="auto" w:fill="FFFFFF"/>
        <w:spacing w:beforeAutospacing="0" w:afterAutospacing="0" w:line="240" w:lineRule="atLeast"/>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3、交纳投标保证金：本项目无须交纳投标保证金。</w:t>
      </w:r>
    </w:p>
    <w:p>
      <w:pPr>
        <w:pStyle w:val="48"/>
        <w:widowControl/>
        <w:shd w:val="clear" w:color="auto" w:fill="FFFFFF"/>
        <w:spacing w:beforeAutospacing="0" w:afterAutospacing="0" w:line="240" w:lineRule="atLeast"/>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 </w:t>
      </w:r>
    </w:p>
    <w:p>
      <w:pPr>
        <w:pStyle w:val="48"/>
        <w:widowControl/>
        <w:shd w:val="clear" w:color="auto" w:fill="FFFFFF"/>
        <w:spacing w:before="225" w:beforeAutospacing="0" w:afterAutospacing="0" w:line="255" w:lineRule="atLeast"/>
        <w:jc w:val="right"/>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招标机构名称：深圳大学总医院招投标管理办公室</w:t>
      </w:r>
    </w:p>
    <w:p>
      <w:pPr>
        <w:pStyle w:val="48"/>
        <w:widowControl/>
        <w:shd w:val="clear" w:color="auto" w:fill="FFFFFF"/>
        <w:spacing w:before="225" w:beforeAutospacing="0" w:afterAutospacing="0" w:line="255" w:lineRule="atLeast"/>
        <w:jc w:val="right"/>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联系人：梁老师</w:t>
      </w:r>
      <w:r>
        <w:rPr>
          <w:rFonts w:eastAsia="微软雅黑"/>
          <w:color w:val="333333"/>
          <w:sz w:val="21"/>
          <w:szCs w:val="21"/>
          <w:shd w:val="clear" w:color="auto" w:fill="FFFFFF"/>
        </w:rPr>
        <w:t> </w:t>
      </w:r>
      <w:r>
        <w:rPr>
          <w:rFonts w:hint="eastAsia" w:ascii="宋体" w:hAnsi="宋体" w:cs="宋体"/>
          <w:color w:val="333333"/>
          <w:sz w:val="21"/>
          <w:szCs w:val="21"/>
          <w:shd w:val="clear" w:color="auto" w:fill="FFFFFF"/>
        </w:rPr>
        <w:t>电话：（</w:t>
      </w:r>
      <w:r>
        <w:rPr>
          <w:rFonts w:eastAsia="微软雅黑"/>
          <w:color w:val="333333"/>
          <w:sz w:val="21"/>
          <w:szCs w:val="21"/>
          <w:shd w:val="clear" w:color="auto" w:fill="FFFFFF"/>
        </w:rPr>
        <w:t>0755</w:t>
      </w:r>
      <w:r>
        <w:rPr>
          <w:rFonts w:hint="eastAsia" w:ascii="宋体" w:hAnsi="宋体" w:cs="宋体"/>
          <w:color w:val="333333"/>
          <w:sz w:val="21"/>
          <w:szCs w:val="21"/>
          <w:shd w:val="clear" w:color="auto" w:fill="FFFFFF"/>
        </w:rPr>
        <w:t>）2183</w:t>
      </w:r>
      <w:r>
        <w:rPr>
          <w:rFonts w:eastAsia="微软雅黑"/>
          <w:color w:val="333333"/>
          <w:sz w:val="21"/>
          <w:szCs w:val="21"/>
          <w:shd w:val="clear" w:color="auto" w:fill="FFFFFF"/>
        </w:rPr>
        <w:t> </w:t>
      </w:r>
      <w:r>
        <w:rPr>
          <w:rFonts w:hint="eastAsia" w:ascii="宋体" w:hAnsi="宋体" w:cs="宋体"/>
          <w:color w:val="333333"/>
          <w:sz w:val="21"/>
          <w:szCs w:val="21"/>
          <w:shd w:val="clear" w:color="auto" w:fill="FFFFFF"/>
        </w:rPr>
        <w:t>9931</w:t>
      </w:r>
    </w:p>
    <w:p>
      <w:pPr>
        <w:pStyle w:val="48"/>
        <w:widowControl/>
        <w:shd w:val="clear" w:color="auto" w:fill="FFFFFF"/>
        <w:spacing w:before="225" w:beforeAutospacing="0" w:afterAutospacing="0" w:line="255" w:lineRule="atLeast"/>
        <w:jc w:val="right"/>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招投标投诉电话：</w:t>
      </w:r>
      <w:r>
        <w:rPr>
          <w:rFonts w:eastAsia="微软雅黑"/>
          <w:color w:val="333333"/>
          <w:sz w:val="21"/>
          <w:szCs w:val="21"/>
          <w:shd w:val="clear" w:color="auto" w:fill="FFFFFF"/>
        </w:rPr>
        <w:t>0755-</w:t>
      </w:r>
      <w:r>
        <w:rPr>
          <w:rFonts w:hint="eastAsia" w:ascii="宋体" w:hAnsi="宋体" w:cs="宋体"/>
          <w:color w:val="333333"/>
          <w:sz w:val="21"/>
          <w:szCs w:val="21"/>
          <w:shd w:val="clear" w:color="auto" w:fill="FFFFFF"/>
        </w:rPr>
        <w:t>2183 8923</w:t>
      </w:r>
      <w:r>
        <w:rPr>
          <w:rFonts w:eastAsia="微软雅黑"/>
          <w:color w:val="333333"/>
          <w:sz w:val="21"/>
          <w:szCs w:val="21"/>
          <w:shd w:val="clear" w:color="auto" w:fill="FFFFFF"/>
        </w:rPr>
        <w:t>  </w:t>
      </w:r>
      <w:r>
        <w:rPr>
          <w:rFonts w:hint="eastAsia" w:ascii="宋体" w:hAnsi="宋体" w:cs="宋体"/>
          <w:color w:val="333333"/>
          <w:sz w:val="21"/>
          <w:szCs w:val="21"/>
          <w:shd w:val="clear" w:color="auto" w:fill="FFFFFF"/>
        </w:rPr>
        <w:t>投诉邮箱：</w:t>
      </w:r>
      <w:r>
        <w:fldChar w:fldCharType="begin"/>
      </w:r>
      <w:r>
        <w:instrText xml:space="preserve"> HYPERLINK "mailto:sughztb@szu.edu.cn" </w:instrText>
      </w:r>
      <w:r>
        <w:fldChar w:fldCharType="separate"/>
      </w:r>
      <w:r>
        <w:rPr>
          <w:rStyle w:val="63"/>
          <w:rFonts w:hint="eastAsia" w:ascii="宋体" w:hAnsi="宋体" w:cs="宋体"/>
          <w:color w:val="002BFF"/>
          <w:sz w:val="21"/>
          <w:szCs w:val="21"/>
          <w:shd w:val="clear" w:color="auto" w:fill="FFFFFF"/>
        </w:rPr>
        <w:t>sughztb@szu.edu.cn</w:t>
      </w:r>
      <w:r>
        <w:rPr>
          <w:rStyle w:val="63"/>
          <w:rFonts w:hint="eastAsia" w:ascii="宋体" w:hAnsi="宋体" w:cs="宋体"/>
          <w:color w:val="002BFF"/>
          <w:sz w:val="21"/>
          <w:szCs w:val="21"/>
          <w:shd w:val="clear" w:color="auto" w:fill="FFFFFF"/>
        </w:rPr>
        <w:fldChar w:fldCharType="end"/>
      </w:r>
    </w:p>
    <w:p>
      <w:pPr>
        <w:pStyle w:val="48"/>
        <w:widowControl/>
        <w:shd w:val="clear" w:color="auto" w:fill="FFFFFF"/>
        <w:spacing w:before="225" w:beforeAutospacing="0" w:afterAutospacing="0" w:line="255" w:lineRule="atLeast"/>
        <w:jc w:val="right"/>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受理单位：</w:t>
      </w:r>
      <w:r>
        <w:rPr>
          <w:rFonts w:eastAsia="微软雅黑"/>
          <w:color w:val="333333"/>
          <w:sz w:val="21"/>
          <w:szCs w:val="21"/>
          <w:shd w:val="clear" w:color="auto" w:fill="FFFFFF"/>
        </w:rPr>
        <w:t> </w:t>
      </w:r>
      <w:r>
        <w:rPr>
          <w:rFonts w:hint="eastAsia" w:ascii="宋体" w:hAnsi="宋体" w:cs="宋体"/>
          <w:color w:val="333333"/>
          <w:sz w:val="21"/>
          <w:szCs w:val="21"/>
          <w:shd w:val="clear" w:color="auto" w:fill="FFFFFF"/>
        </w:rPr>
        <w:t>深圳大学总医院招投标管理办公室   </w:t>
      </w:r>
    </w:p>
    <w:p>
      <w:pPr>
        <w:pStyle w:val="48"/>
        <w:widowControl/>
        <w:shd w:val="clear" w:color="auto" w:fill="FFFFFF"/>
        <w:spacing w:before="225" w:beforeAutospacing="0" w:afterAutospacing="0" w:line="255" w:lineRule="atLeast"/>
        <w:jc w:val="right"/>
        <w:rPr>
          <w:rFonts w:ascii="微软雅黑" w:hAnsi="微软雅黑" w:eastAsia="微软雅黑" w:cs="微软雅黑"/>
          <w:color w:val="333333"/>
          <w:sz w:val="21"/>
          <w:szCs w:val="21"/>
        </w:rPr>
      </w:pPr>
      <w:r>
        <w:rPr>
          <w:rFonts w:hint="eastAsia" w:ascii="宋体" w:hAnsi="宋体" w:cs="宋体"/>
          <w:color w:val="333333"/>
          <w:sz w:val="21"/>
          <w:szCs w:val="21"/>
          <w:shd w:val="clear" w:color="auto" w:fill="FFFFFF"/>
        </w:rPr>
        <w:t>纪委监督电话：</w:t>
      </w:r>
      <w:r>
        <w:rPr>
          <w:rFonts w:eastAsia="微软雅黑"/>
          <w:color w:val="333333"/>
          <w:sz w:val="21"/>
          <w:szCs w:val="21"/>
          <w:shd w:val="clear" w:color="auto" w:fill="FFFFFF"/>
        </w:rPr>
        <w:t>(0755)</w:t>
      </w:r>
      <w:r>
        <w:rPr>
          <w:rFonts w:ascii="Calibri" w:hAnsi="Calibri" w:eastAsia="微软雅黑" w:cs="Calibri"/>
          <w:color w:val="333333"/>
          <w:sz w:val="21"/>
          <w:szCs w:val="21"/>
          <w:shd w:val="clear" w:color="auto" w:fill="FFFFFF"/>
        </w:rPr>
        <w:t>2183</w:t>
      </w:r>
      <w:r>
        <w:rPr>
          <w:rFonts w:hint="eastAsia" w:ascii="宋体" w:hAnsi="宋体" w:cs="宋体"/>
          <w:color w:val="333333"/>
          <w:sz w:val="21"/>
          <w:szCs w:val="21"/>
          <w:shd w:val="clear" w:color="auto" w:fill="FFFFFF"/>
        </w:rPr>
        <w:t> </w:t>
      </w:r>
      <w:r>
        <w:rPr>
          <w:rFonts w:ascii="Calibri" w:hAnsi="Calibri" w:eastAsia="微软雅黑" w:cs="Calibri"/>
          <w:color w:val="333333"/>
          <w:sz w:val="21"/>
          <w:szCs w:val="21"/>
          <w:shd w:val="clear" w:color="auto" w:fill="FFFFFF"/>
        </w:rPr>
        <w:t>9</w:t>
      </w:r>
      <w:r>
        <w:rPr>
          <w:rFonts w:hint="eastAsia" w:ascii="宋体" w:hAnsi="宋体" w:cs="宋体"/>
          <w:color w:val="333333"/>
          <w:sz w:val="21"/>
          <w:szCs w:val="21"/>
          <w:shd w:val="clear" w:color="auto" w:fill="FFFFFF"/>
        </w:rPr>
        <w:t>935</w:t>
      </w:r>
    </w:p>
    <w:p>
      <w:pPr>
        <w:adjustRightInd w:val="0"/>
        <w:snapToGrid w:val="0"/>
        <w:spacing w:line="360" w:lineRule="auto"/>
        <w:ind w:firstLine="420" w:firstLineChars="200"/>
        <w:jc w:val="left"/>
        <w:rPr>
          <w:kern w:val="0"/>
          <w:szCs w:val="21"/>
        </w:rPr>
      </w:pPr>
    </w:p>
    <w:p>
      <w:pPr>
        <w:pStyle w:val="5"/>
        <w:keepNext w:val="0"/>
        <w:keepLines w:val="0"/>
        <w:pageBreakBefore/>
        <w:rPr>
          <w:sz w:val="32"/>
          <w:szCs w:val="32"/>
        </w:rPr>
      </w:pPr>
      <w:r>
        <w:rPr>
          <w:rFonts w:hint="eastAsia"/>
          <w:sz w:val="32"/>
          <w:szCs w:val="32"/>
        </w:rPr>
        <w:t>第二章  项目需求</w:t>
      </w:r>
    </w:p>
    <w:p>
      <w:pPr>
        <w:pStyle w:val="5"/>
        <w:spacing w:before="120" w:beforeLines="50" w:after="120" w:afterLines="50"/>
        <w:rPr>
          <w:sz w:val="28"/>
          <w:szCs w:val="28"/>
        </w:rPr>
      </w:pPr>
      <w:bookmarkStart w:id="21" w:name="_Toc73518117"/>
      <w:bookmarkStart w:id="22" w:name="_Toc73517639"/>
      <w:bookmarkStart w:id="23" w:name="_Toc60631620"/>
      <w:bookmarkStart w:id="24" w:name="_Toc73521547"/>
      <w:bookmarkStart w:id="25" w:name="_Toc100052364"/>
      <w:bookmarkStart w:id="26" w:name="_Toc60560625"/>
      <w:bookmarkStart w:id="27" w:name="_Toc73521635"/>
      <w:bookmarkStart w:id="28" w:name="_Toc101074876"/>
      <w:r>
        <w:rPr>
          <w:rFonts w:hint="eastAsia"/>
          <w:sz w:val="28"/>
          <w:szCs w:val="28"/>
        </w:rPr>
        <w:t>一、对通用条款的补充内容</w:t>
      </w:r>
    </w:p>
    <w:bookmarkEnd w:id="21"/>
    <w:bookmarkEnd w:id="22"/>
    <w:bookmarkEnd w:id="23"/>
    <w:bookmarkEnd w:id="24"/>
    <w:bookmarkEnd w:id="25"/>
    <w:bookmarkEnd w:id="26"/>
    <w:bookmarkEnd w:id="27"/>
    <w:bookmarkEnd w:id="28"/>
    <w:tbl>
      <w:tblPr>
        <w:tblStyle w:val="54"/>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07" w:type="dxa"/>
            <w:vAlign w:val="center"/>
          </w:tcPr>
          <w:p>
            <w:pPr>
              <w:jc w:val="center"/>
              <w:rPr>
                <w:b/>
                <w:bCs/>
                <w:szCs w:val="21"/>
              </w:rPr>
            </w:pPr>
            <w:r>
              <w:rPr>
                <w:b/>
                <w:bCs/>
                <w:szCs w:val="21"/>
              </w:rPr>
              <w:t>序号</w:t>
            </w:r>
          </w:p>
        </w:tc>
        <w:tc>
          <w:tcPr>
            <w:tcW w:w="2160" w:type="dxa"/>
            <w:vAlign w:val="center"/>
          </w:tcPr>
          <w:p>
            <w:pPr>
              <w:jc w:val="center"/>
              <w:rPr>
                <w:b/>
                <w:bCs/>
                <w:szCs w:val="21"/>
              </w:rPr>
            </w:pPr>
            <w:r>
              <w:rPr>
                <w:b/>
                <w:bCs/>
                <w:szCs w:val="21"/>
              </w:rPr>
              <w:t>内   容</w:t>
            </w:r>
          </w:p>
        </w:tc>
        <w:tc>
          <w:tcPr>
            <w:tcW w:w="5400" w:type="dxa"/>
            <w:vAlign w:val="center"/>
          </w:tcPr>
          <w:p>
            <w:pPr>
              <w:jc w:val="center"/>
              <w:rPr>
                <w:b/>
                <w:bCs/>
                <w:szCs w:val="21"/>
              </w:rPr>
            </w:pPr>
            <w:r>
              <w:rPr>
                <w:b/>
                <w:bCs/>
                <w:szCs w:val="21"/>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07" w:type="dxa"/>
            <w:vAlign w:val="center"/>
          </w:tcPr>
          <w:p>
            <w:pPr>
              <w:jc w:val="center"/>
              <w:rPr>
                <w:szCs w:val="21"/>
              </w:rPr>
            </w:pPr>
            <w:r>
              <w:rPr>
                <w:szCs w:val="21"/>
              </w:rPr>
              <w:t>1</w:t>
            </w:r>
          </w:p>
        </w:tc>
        <w:tc>
          <w:tcPr>
            <w:tcW w:w="2160" w:type="dxa"/>
            <w:vAlign w:val="center"/>
          </w:tcPr>
          <w:p>
            <w:pPr>
              <w:rPr>
                <w:szCs w:val="21"/>
              </w:rPr>
            </w:pPr>
            <w:r>
              <w:rPr>
                <w:szCs w:val="21"/>
              </w:rPr>
              <w:t>联合体投标</w:t>
            </w:r>
          </w:p>
        </w:tc>
        <w:tc>
          <w:tcPr>
            <w:tcW w:w="5400" w:type="dxa"/>
            <w:vAlign w:val="center"/>
          </w:tcPr>
          <w:p>
            <w:pPr>
              <w:rPr>
                <w:snapToGrid w:val="0"/>
                <w:kern w:val="0"/>
                <w:szCs w:val="21"/>
                <w:u w:val="single"/>
                <w:lang w:val="zh-CN"/>
              </w:rPr>
            </w:pPr>
            <w:r>
              <w:rPr>
                <w:snapToGrid w:val="0"/>
                <w:kern w:val="0"/>
                <w:szCs w:val="21"/>
                <w:u w:val="single"/>
                <w:lang w:val="zh-CN"/>
              </w:rPr>
              <w:t>见《招标公告》中“对投标人资质要求”部分的相关内容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07" w:type="dxa"/>
            <w:vAlign w:val="center"/>
          </w:tcPr>
          <w:p>
            <w:pPr>
              <w:jc w:val="center"/>
              <w:rPr>
                <w:szCs w:val="21"/>
              </w:rPr>
            </w:pPr>
            <w:r>
              <w:rPr>
                <w:szCs w:val="21"/>
              </w:rPr>
              <w:t>2</w:t>
            </w:r>
          </w:p>
        </w:tc>
        <w:tc>
          <w:tcPr>
            <w:tcW w:w="2160" w:type="dxa"/>
            <w:vAlign w:val="center"/>
          </w:tcPr>
          <w:p>
            <w:pPr>
              <w:rPr>
                <w:szCs w:val="21"/>
              </w:rPr>
            </w:pPr>
            <w:r>
              <w:rPr>
                <w:szCs w:val="21"/>
              </w:rPr>
              <w:t>投标有效期</w:t>
            </w:r>
          </w:p>
        </w:tc>
        <w:tc>
          <w:tcPr>
            <w:tcW w:w="5400" w:type="dxa"/>
            <w:vAlign w:val="center"/>
          </w:tcPr>
          <w:p>
            <w:pPr>
              <w:rPr>
                <w:szCs w:val="21"/>
              </w:rPr>
            </w:pPr>
            <w:r>
              <w:rPr>
                <w:szCs w:val="21"/>
                <w:u w:val="single"/>
              </w:rPr>
              <w:t>60日历天</w:t>
            </w:r>
            <w:r>
              <w:rPr>
                <w:szCs w:val="21"/>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07" w:type="dxa"/>
            <w:vAlign w:val="center"/>
          </w:tcPr>
          <w:p>
            <w:pPr>
              <w:jc w:val="center"/>
              <w:rPr>
                <w:szCs w:val="21"/>
              </w:rPr>
            </w:pPr>
            <w:r>
              <w:rPr>
                <w:szCs w:val="21"/>
              </w:rPr>
              <w:t>3</w:t>
            </w:r>
          </w:p>
        </w:tc>
        <w:tc>
          <w:tcPr>
            <w:tcW w:w="2160" w:type="dxa"/>
            <w:vAlign w:val="center"/>
          </w:tcPr>
          <w:p>
            <w:pPr>
              <w:rPr>
                <w:szCs w:val="21"/>
              </w:rPr>
            </w:pPr>
            <w:r>
              <w:rPr>
                <w:szCs w:val="21"/>
              </w:rPr>
              <w:t>投标人的替代方案</w:t>
            </w:r>
          </w:p>
        </w:tc>
        <w:tc>
          <w:tcPr>
            <w:tcW w:w="5400" w:type="dxa"/>
            <w:vAlign w:val="center"/>
          </w:tcPr>
          <w:p>
            <w:pPr>
              <w:rPr>
                <w:b/>
                <w:szCs w:val="21"/>
              </w:rPr>
            </w:pPr>
            <w:r>
              <w:rPr>
                <w:b/>
                <w:color w:val="FF0000"/>
                <w:szCs w:val="21"/>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07" w:type="dxa"/>
            <w:vAlign w:val="center"/>
          </w:tcPr>
          <w:p>
            <w:pPr>
              <w:jc w:val="center"/>
              <w:rPr>
                <w:szCs w:val="21"/>
              </w:rPr>
            </w:pPr>
            <w:r>
              <w:rPr>
                <w:szCs w:val="21"/>
              </w:rPr>
              <w:t>4</w:t>
            </w:r>
          </w:p>
        </w:tc>
        <w:tc>
          <w:tcPr>
            <w:tcW w:w="2160" w:type="dxa"/>
            <w:vAlign w:val="center"/>
          </w:tcPr>
          <w:p>
            <w:pPr>
              <w:rPr>
                <w:szCs w:val="21"/>
              </w:rPr>
            </w:pPr>
            <w:r>
              <w:rPr>
                <w:szCs w:val="21"/>
              </w:rPr>
              <w:t>投标文件的投递</w:t>
            </w:r>
          </w:p>
        </w:tc>
        <w:tc>
          <w:tcPr>
            <w:tcW w:w="5400" w:type="dxa"/>
            <w:vAlign w:val="center"/>
          </w:tcPr>
          <w:p>
            <w:pPr>
              <w:adjustRightInd w:val="0"/>
              <w:snapToGrid w:val="0"/>
              <w:spacing w:line="360" w:lineRule="auto"/>
              <w:jc w:val="left"/>
              <w:rPr>
                <w:szCs w:val="21"/>
              </w:rPr>
            </w:pPr>
            <w:r>
              <w:rPr>
                <w:rFonts w:hint="eastAsia" w:ascii="宋体" w:hAnsi="宋体"/>
              </w:rPr>
              <w:t xml:space="preserve">投标人必须在招标文件规定的投标截止时间前将密封的投标文件递送到深圳大学总医院招投标管理办公室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07" w:type="dxa"/>
            <w:vAlign w:val="center"/>
          </w:tcPr>
          <w:p>
            <w:pPr>
              <w:jc w:val="center"/>
              <w:rPr>
                <w:szCs w:val="21"/>
              </w:rPr>
            </w:pPr>
            <w:r>
              <w:rPr>
                <w:szCs w:val="21"/>
              </w:rPr>
              <w:t>5</w:t>
            </w:r>
          </w:p>
        </w:tc>
        <w:tc>
          <w:tcPr>
            <w:tcW w:w="2160" w:type="dxa"/>
            <w:vAlign w:val="center"/>
          </w:tcPr>
          <w:p>
            <w:pPr>
              <w:rPr>
                <w:szCs w:val="21"/>
              </w:rPr>
            </w:pPr>
            <w:r>
              <w:rPr>
                <w:szCs w:val="21"/>
              </w:rPr>
              <w:t>履约担保金额</w:t>
            </w:r>
          </w:p>
        </w:tc>
        <w:tc>
          <w:tcPr>
            <w:tcW w:w="5400" w:type="dxa"/>
            <w:vAlign w:val="center"/>
          </w:tcPr>
          <w:p>
            <w:pPr>
              <w:rPr>
                <w:szCs w:val="21"/>
              </w:rPr>
            </w:pPr>
            <w:r>
              <w:rPr>
                <w:rFonts w:hint="eastAsia"/>
                <w:szCs w:val="21"/>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07" w:type="dxa"/>
            <w:vAlign w:val="center"/>
          </w:tcPr>
          <w:p>
            <w:pPr>
              <w:jc w:val="center"/>
              <w:rPr>
                <w:szCs w:val="21"/>
              </w:rPr>
            </w:pPr>
            <w:r>
              <w:rPr>
                <w:szCs w:val="21"/>
              </w:rPr>
              <w:t>6</w:t>
            </w:r>
          </w:p>
        </w:tc>
        <w:tc>
          <w:tcPr>
            <w:tcW w:w="2160" w:type="dxa"/>
            <w:vAlign w:val="center"/>
          </w:tcPr>
          <w:p>
            <w:pPr>
              <w:rPr>
                <w:szCs w:val="21"/>
              </w:rPr>
            </w:pPr>
            <w:r>
              <w:rPr>
                <w:szCs w:val="21"/>
              </w:rPr>
              <w:t>投标文件</w:t>
            </w:r>
          </w:p>
        </w:tc>
        <w:tc>
          <w:tcPr>
            <w:tcW w:w="5400" w:type="dxa"/>
            <w:vAlign w:val="center"/>
          </w:tcPr>
          <w:p>
            <w:pPr>
              <w:adjustRightInd w:val="0"/>
              <w:snapToGrid w:val="0"/>
              <w:spacing w:line="360" w:lineRule="auto"/>
              <w:jc w:val="left"/>
              <w:rPr>
                <w:szCs w:val="21"/>
              </w:rPr>
            </w:pPr>
            <w:r>
              <w:rPr>
                <w:rFonts w:hint="eastAsia"/>
                <w:szCs w:val="21"/>
              </w:rPr>
              <w:t>投标文件</w:t>
            </w:r>
            <w:r>
              <w:rPr>
                <w:rFonts w:hint="eastAsia"/>
                <w:color w:val="FF0000"/>
                <w:szCs w:val="21"/>
              </w:rPr>
              <w:t>正本 一 份，副本 四 份</w:t>
            </w:r>
            <w:r>
              <w:rPr>
                <w:rFonts w:hint="eastAsia"/>
                <w:szCs w:val="21"/>
              </w:rPr>
              <w:t>，份数不足按废标处理。</w:t>
            </w:r>
          </w:p>
          <w:p>
            <w:pPr>
              <w:adjustRightInd w:val="0"/>
              <w:snapToGrid w:val="0"/>
              <w:spacing w:line="360" w:lineRule="auto"/>
              <w:jc w:val="left"/>
              <w:rPr>
                <w:szCs w:val="21"/>
              </w:rPr>
            </w:pPr>
            <w:r>
              <w:rPr>
                <w:rFonts w:hint="eastAsia"/>
                <w:szCs w:val="21"/>
              </w:rPr>
              <w:t>投标文件采用A4版胶印装订，不得采用活页夹装订，投标文件中的任何一页不能是裁剪粘贴式的，否则按废标处理。</w:t>
            </w:r>
          </w:p>
          <w:p>
            <w:pPr>
              <w:adjustRightInd w:val="0"/>
              <w:snapToGrid w:val="0"/>
              <w:spacing w:line="360" w:lineRule="auto"/>
              <w:jc w:val="left"/>
              <w:rPr>
                <w:szCs w:val="21"/>
              </w:rPr>
            </w:pPr>
            <w:r>
              <w:rPr>
                <w:rFonts w:hint="eastAsia"/>
                <w:szCs w:val="21"/>
              </w:rPr>
              <w:t>需要将投标一览表另外再单独密封一份提交。</w:t>
            </w:r>
          </w:p>
        </w:tc>
      </w:tr>
    </w:tbl>
    <w:p>
      <w:pPr>
        <w:rPr>
          <w:b/>
        </w:rPr>
      </w:pPr>
      <w:r>
        <w:rPr>
          <w:rFonts w:hint="eastAsia"/>
          <w:szCs w:val="21"/>
        </w:rPr>
        <w:t>备注：本表为通用条款相关内容的补充和明确，如与通用条款相冲突的以本表为准。</w:t>
      </w:r>
    </w:p>
    <w:p>
      <w:pPr>
        <w:rPr>
          <w:b/>
        </w:rPr>
      </w:pPr>
    </w:p>
    <w:p>
      <w:pPr>
        <w:pStyle w:val="5"/>
        <w:spacing w:before="120" w:beforeLines="50" w:after="120" w:afterLines="50"/>
        <w:rPr>
          <w:sz w:val="28"/>
          <w:szCs w:val="28"/>
        </w:rPr>
      </w:pPr>
      <w:r>
        <w:rPr>
          <w:rFonts w:hint="eastAsia"/>
          <w:sz w:val="28"/>
          <w:szCs w:val="28"/>
        </w:rPr>
        <w:t>二、货物清单</w:t>
      </w:r>
    </w:p>
    <w:p>
      <w:pPr>
        <w:jc w:val="left"/>
        <w:rPr>
          <w:rFonts w:ascii="宋体" w:hAnsi="宋体"/>
          <w:b/>
          <w:sz w:val="24"/>
        </w:rPr>
      </w:pPr>
      <w:r>
        <w:rPr>
          <w:rFonts w:hint="eastAsia" w:ascii="宋体" w:hAnsi="宋体"/>
          <w:b/>
          <w:sz w:val="24"/>
        </w:rPr>
        <w:t>（一）货物总清单</w:t>
      </w:r>
    </w:p>
    <w:tbl>
      <w:tblPr>
        <w:tblStyle w:val="54"/>
        <w:tblW w:w="850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977"/>
        <w:gridCol w:w="850"/>
        <w:gridCol w:w="992"/>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rPr>
            </w:pPr>
            <w:r>
              <w:rPr>
                <w:b/>
                <w:bCs/>
                <w:kern w:val="0"/>
              </w:rPr>
              <w:t>序号</w:t>
            </w:r>
          </w:p>
        </w:tc>
        <w:tc>
          <w:tcPr>
            <w:tcW w:w="2977" w:type="dxa"/>
            <w:tcBorders>
              <w:top w:val="single" w:color="auto" w:sz="4" w:space="0"/>
              <w:left w:val="nil"/>
              <w:bottom w:val="single" w:color="auto" w:sz="4" w:space="0"/>
              <w:right w:val="single" w:color="auto" w:sz="4" w:space="0"/>
            </w:tcBorders>
            <w:vAlign w:val="center"/>
          </w:tcPr>
          <w:p>
            <w:pPr>
              <w:widowControl/>
              <w:jc w:val="center"/>
              <w:rPr>
                <w:b/>
                <w:bCs/>
                <w:kern w:val="0"/>
              </w:rPr>
            </w:pPr>
            <w:r>
              <w:rPr>
                <w:b/>
                <w:bCs/>
                <w:kern w:val="0"/>
              </w:rPr>
              <w:t>货物名称</w:t>
            </w:r>
          </w:p>
        </w:tc>
        <w:tc>
          <w:tcPr>
            <w:tcW w:w="850" w:type="dxa"/>
            <w:tcBorders>
              <w:top w:val="single" w:color="auto" w:sz="4" w:space="0"/>
              <w:left w:val="nil"/>
              <w:bottom w:val="single" w:color="auto" w:sz="4" w:space="0"/>
              <w:right w:val="single" w:color="auto" w:sz="4" w:space="0"/>
            </w:tcBorders>
            <w:vAlign w:val="center"/>
          </w:tcPr>
          <w:p>
            <w:pPr>
              <w:widowControl/>
              <w:jc w:val="center"/>
              <w:rPr>
                <w:b/>
                <w:bCs/>
                <w:kern w:val="0"/>
              </w:rPr>
            </w:pPr>
            <w:r>
              <w:rPr>
                <w:b/>
                <w:bCs/>
                <w:kern w:val="0"/>
              </w:rPr>
              <w:t>数量</w:t>
            </w:r>
          </w:p>
        </w:tc>
        <w:tc>
          <w:tcPr>
            <w:tcW w:w="992" w:type="dxa"/>
            <w:tcBorders>
              <w:top w:val="single" w:color="auto" w:sz="4" w:space="0"/>
              <w:left w:val="nil"/>
              <w:bottom w:val="single" w:color="auto" w:sz="4" w:space="0"/>
              <w:right w:val="single" w:color="auto" w:sz="4" w:space="0"/>
            </w:tcBorders>
            <w:vAlign w:val="center"/>
          </w:tcPr>
          <w:p>
            <w:pPr>
              <w:widowControl/>
              <w:jc w:val="center"/>
              <w:rPr>
                <w:b/>
                <w:bCs/>
                <w:kern w:val="0"/>
              </w:rPr>
            </w:pPr>
            <w:r>
              <w:rPr>
                <w:b/>
                <w:bCs/>
                <w:kern w:val="0"/>
              </w:rPr>
              <w:t>单位</w:t>
            </w:r>
          </w:p>
        </w:tc>
        <w:tc>
          <w:tcPr>
            <w:tcW w:w="1418" w:type="dxa"/>
            <w:tcBorders>
              <w:top w:val="single" w:color="auto" w:sz="4" w:space="0"/>
              <w:left w:val="nil"/>
              <w:bottom w:val="single" w:color="auto" w:sz="4" w:space="0"/>
              <w:right w:val="single" w:color="auto" w:sz="4" w:space="0"/>
            </w:tcBorders>
            <w:vAlign w:val="center"/>
          </w:tcPr>
          <w:p>
            <w:pPr>
              <w:widowControl/>
              <w:jc w:val="center"/>
              <w:rPr>
                <w:b/>
                <w:bCs/>
                <w:kern w:val="0"/>
              </w:rPr>
            </w:pPr>
            <w:r>
              <w:rPr>
                <w:b/>
                <w:bCs/>
                <w:kern w:val="0"/>
              </w:rPr>
              <w:t>备注</w:t>
            </w:r>
          </w:p>
        </w:tc>
        <w:tc>
          <w:tcPr>
            <w:tcW w:w="1418" w:type="dxa"/>
            <w:tcBorders>
              <w:top w:val="single" w:color="auto" w:sz="4" w:space="0"/>
              <w:left w:val="nil"/>
              <w:bottom w:val="single" w:color="auto" w:sz="4" w:space="0"/>
              <w:right w:val="single" w:color="auto" w:sz="4" w:space="0"/>
            </w:tcBorders>
            <w:vAlign w:val="center"/>
          </w:tcPr>
          <w:p>
            <w:pPr>
              <w:widowControl/>
              <w:jc w:val="center"/>
              <w:rPr>
                <w:b/>
                <w:bCs/>
                <w:kern w:val="0"/>
              </w:rPr>
            </w:pPr>
            <w:r>
              <w:rPr>
                <w:b/>
                <w:bCs/>
                <w:kern w:val="0"/>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widowControl/>
              <w:jc w:val="center"/>
              <w:rPr>
                <w:kern w:val="0"/>
                <w:szCs w:val="21"/>
              </w:rPr>
            </w:pPr>
            <w:r>
              <w:rPr>
                <w:rFonts w:hint="eastAsia"/>
                <w:kern w:val="0"/>
                <w:szCs w:val="21"/>
              </w:rPr>
              <w:t>1</w:t>
            </w:r>
          </w:p>
        </w:tc>
        <w:tc>
          <w:tcPr>
            <w:tcW w:w="2977" w:type="dxa"/>
            <w:vAlign w:val="center"/>
          </w:tcPr>
          <w:p>
            <w:pPr>
              <w:widowControl/>
              <w:jc w:val="center"/>
              <w:rPr>
                <w:kern w:val="0"/>
                <w:szCs w:val="21"/>
              </w:rPr>
            </w:pPr>
            <w:r>
              <w:rPr>
                <w:rFonts w:hint="eastAsia"/>
                <w:kern w:val="0"/>
                <w:szCs w:val="21"/>
              </w:rPr>
              <w:t>护理床头屏设备</w:t>
            </w:r>
          </w:p>
        </w:tc>
        <w:tc>
          <w:tcPr>
            <w:tcW w:w="850" w:type="dxa"/>
            <w:vAlign w:val="center"/>
          </w:tcPr>
          <w:p>
            <w:pPr>
              <w:widowControl/>
              <w:jc w:val="center"/>
              <w:rPr>
                <w:kern w:val="0"/>
                <w:szCs w:val="21"/>
              </w:rPr>
            </w:pPr>
            <w:r>
              <w:rPr>
                <w:kern w:val="0"/>
                <w:szCs w:val="21"/>
              </w:rPr>
              <w:t>47</w:t>
            </w:r>
          </w:p>
        </w:tc>
        <w:tc>
          <w:tcPr>
            <w:tcW w:w="992" w:type="dxa"/>
            <w:vAlign w:val="center"/>
          </w:tcPr>
          <w:p>
            <w:pPr>
              <w:widowControl/>
              <w:jc w:val="center"/>
              <w:rPr>
                <w:kern w:val="0"/>
                <w:szCs w:val="21"/>
              </w:rPr>
            </w:pPr>
            <w:r>
              <w:rPr>
                <w:kern w:val="0"/>
                <w:szCs w:val="21"/>
              </w:rPr>
              <w:t>台</w:t>
            </w:r>
          </w:p>
        </w:tc>
        <w:tc>
          <w:tcPr>
            <w:tcW w:w="1418" w:type="dxa"/>
            <w:vAlign w:val="center"/>
          </w:tcPr>
          <w:p>
            <w:pPr>
              <w:widowControl/>
              <w:jc w:val="center"/>
              <w:rPr>
                <w:kern w:val="0"/>
                <w:szCs w:val="21"/>
              </w:rPr>
            </w:pPr>
            <w:r>
              <w:rPr>
                <w:rFonts w:hint="eastAsia"/>
                <w:b/>
                <w:bCs/>
                <w:color w:val="FF0000"/>
                <w:kern w:val="0"/>
                <w:szCs w:val="21"/>
              </w:rPr>
              <w:t>拒绝进口</w:t>
            </w:r>
          </w:p>
        </w:tc>
        <w:tc>
          <w:tcPr>
            <w:tcW w:w="1418" w:type="dxa"/>
            <w:vAlign w:val="center"/>
          </w:tcPr>
          <w:p>
            <w:pPr>
              <w:widowControl/>
              <w:jc w:val="center"/>
              <w:rPr>
                <w:kern w:val="0"/>
                <w:szCs w:val="21"/>
              </w:rPr>
            </w:pPr>
            <w:r>
              <w:rPr>
                <w:rFonts w:hint="eastAsia"/>
                <w:kern w:val="0"/>
                <w:szCs w:val="21"/>
              </w:rPr>
              <w:t>1</w:t>
            </w:r>
            <w:r>
              <w:rPr>
                <w:kern w:val="0"/>
                <w:szCs w:val="21"/>
              </w:rPr>
              <w:t>12,330.00</w:t>
            </w:r>
          </w:p>
        </w:tc>
      </w:tr>
    </w:tbl>
    <w:p>
      <w:pPr>
        <w:jc w:val="left"/>
        <w:rPr>
          <w:rFonts w:ascii="宋体" w:hAnsi="宋体"/>
          <w:color w:val="FF0000"/>
          <w:szCs w:val="21"/>
        </w:rPr>
      </w:pPr>
    </w:p>
    <w:p>
      <w:pPr>
        <w:adjustRightInd w:val="0"/>
        <w:snapToGrid w:val="0"/>
        <w:spacing w:line="360" w:lineRule="auto"/>
        <w:jc w:val="left"/>
        <w:rPr>
          <w:color w:val="FF0000"/>
          <w:szCs w:val="21"/>
        </w:rPr>
      </w:pPr>
      <w:r>
        <w:rPr>
          <w:color w:val="FF0000"/>
          <w:szCs w:val="21"/>
        </w:rPr>
        <w:t>说明：1、同一个货物的</w:t>
      </w:r>
      <w:r>
        <w:rPr>
          <w:rFonts w:hint="eastAsia"/>
          <w:color w:val="FF0000"/>
          <w:szCs w:val="21"/>
        </w:rPr>
        <w:t>“</w:t>
      </w:r>
      <w:r>
        <w:rPr>
          <w:color w:val="FF0000"/>
          <w:szCs w:val="21"/>
        </w:rPr>
        <w:t>货物序号</w:t>
      </w:r>
      <w:r>
        <w:rPr>
          <w:rFonts w:hint="eastAsia"/>
          <w:color w:val="FF0000"/>
          <w:szCs w:val="21"/>
        </w:rPr>
        <w:t>”</w:t>
      </w:r>
      <w:r>
        <w:rPr>
          <w:color w:val="FF0000"/>
          <w:szCs w:val="21"/>
        </w:rPr>
        <w:t>在货物名称与数量表和货物详细配置名称及数量表中必须一致</w:t>
      </w:r>
    </w:p>
    <w:p>
      <w:pPr>
        <w:adjustRightInd w:val="0"/>
        <w:snapToGrid w:val="0"/>
        <w:spacing w:line="360" w:lineRule="auto"/>
        <w:jc w:val="left"/>
        <w:rPr>
          <w:color w:val="FF0000"/>
          <w:szCs w:val="21"/>
        </w:rPr>
      </w:pPr>
      <w:r>
        <w:rPr>
          <w:color w:val="FF0000"/>
          <w:szCs w:val="21"/>
        </w:rPr>
        <w:t>2、除非是设备系统不可分割部分，配置清单一般不允许包含政府集中采购清单内的设备，如电脑、数据处理服务器等等</w:t>
      </w:r>
    </w:p>
    <w:p>
      <w:pPr>
        <w:jc w:val="left"/>
        <w:rPr>
          <w:rFonts w:ascii="宋体" w:hAnsi="宋体"/>
          <w:b/>
          <w:sz w:val="24"/>
        </w:rPr>
      </w:pPr>
    </w:p>
    <w:p>
      <w:pPr>
        <w:pStyle w:val="5"/>
        <w:spacing w:before="120" w:beforeLines="50" w:after="120" w:afterLines="50"/>
        <w:rPr>
          <w:sz w:val="28"/>
          <w:szCs w:val="28"/>
        </w:rPr>
      </w:pPr>
      <w:r>
        <w:rPr>
          <w:rFonts w:hint="eastAsia"/>
          <w:sz w:val="28"/>
          <w:szCs w:val="28"/>
        </w:rPr>
        <w:t>三、具体技术要求</w:t>
      </w:r>
    </w:p>
    <w:p>
      <w:pPr>
        <w:adjustRightInd w:val="0"/>
        <w:snapToGrid w:val="0"/>
        <w:spacing w:line="360" w:lineRule="auto"/>
        <w:jc w:val="left"/>
        <w:rPr>
          <w:b/>
          <w:szCs w:val="21"/>
        </w:rPr>
      </w:pPr>
      <w:r>
        <w:rPr>
          <w:rFonts w:hint="eastAsia"/>
          <w:b/>
          <w:szCs w:val="21"/>
        </w:rPr>
        <w:t>说明：1. 投标人须如实填写《技术规格偏离表》，并按招标文件的要求提供相关证明资料，包括产品原厂说明书或产品彩页等。提供的证明资料与投标响应情况不相符的，视为《技术规格偏离表》填写不实。</w:t>
      </w:r>
    </w:p>
    <w:p>
      <w:pPr>
        <w:adjustRightInd w:val="0"/>
        <w:snapToGrid w:val="0"/>
        <w:spacing w:line="360" w:lineRule="auto"/>
        <w:jc w:val="left"/>
        <w:rPr>
          <w:b/>
          <w:szCs w:val="21"/>
        </w:rPr>
      </w:pPr>
      <w:r>
        <w:rPr>
          <w:rFonts w:hint="eastAsia"/>
          <w:b/>
          <w:szCs w:val="21"/>
        </w:rPr>
        <w:t xml:space="preserve">      2. 带★的参数为不可负偏离项。若负偏离即属于符合性检查表：“所投产品、工程、服务在质量、技术、方案等方面没有实质性满足招标文件要求”的</w:t>
      </w:r>
      <w:r>
        <w:rPr>
          <w:b/>
          <w:szCs w:val="21"/>
        </w:rPr>
        <w:t>情况</w:t>
      </w:r>
      <w:r>
        <w:rPr>
          <w:rFonts w:hint="eastAsia"/>
          <w:b/>
          <w:szCs w:val="21"/>
        </w:rPr>
        <w:t>，初审不通过。</w:t>
      </w:r>
    </w:p>
    <w:p>
      <w:pPr>
        <w:rPr>
          <w:b/>
          <w:szCs w:val="21"/>
        </w:rPr>
      </w:pPr>
    </w:p>
    <w:p>
      <w:pPr>
        <w:rPr>
          <w:b/>
          <w:szCs w:val="21"/>
        </w:rPr>
      </w:pPr>
    </w:p>
    <w:tbl>
      <w:tblPr>
        <w:tblStyle w:val="54"/>
        <w:tblW w:w="8720"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744"/>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24" w:type="dxa"/>
            <w:vAlign w:val="center"/>
          </w:tcPr>
          <w:p>
            <w:pPr>
              <w:jc w:val="center"/>
              <w:rPr>
                <w:b/>
                <w:bCs/>
                <w:szCs w:val="21"/>
              </w:rPr>
            </w:pPr>
            <w:r>
              <w:rPr>
                <w:rFonts w:hint="eastAsia"/>
                <w:b/>
                <w:bCs/>
                <w:szCs w:val="21"/>
              </w:rPr>
              <w:t>序号</w:t>
            </w:r>
          </w:p>
        </w:tc>
        <w:tc>
          <w:tcPr>
            <w:tcW w:w="744" w:type="dxa"/>
            <w:vAlign w:val="center"/>
          </w:tcPr>
          <w:p>
            <w:pPr>
              <w:widowControl/>
              <w:jc w:val="center"/>
              <w:rPr>
                <w:b/>
                <w:bCs/>
                <w:szCs w:val="21"/>
              </w:rPr>
            </w:pPr>
            <w:r>
              <w:rPr>
                <w:rFonts w:hint="eastAsia"/>
                <w:b/>
                <w:bCs/>
                <w:szCs w:val="21"/>
              </w:rPr>
              <w:t>货物名称</w:t>
            </w:r>
          </w:p>
        </w:tc>
        <w:tc>
          <w:tcPr>
            <w:tcW w:w="7052" w:type="dxa"/>
            <w:vAlign w:val="center"/>
          </w:tcPr>
          <w:p>
            <w:pPr>
              <w:jc w:val="center"/>
              <w:rPr>
                <w:b/>
                <w:bCs/>
                <w:szCs w:val="21"/>
              </w:rPr>
            </w:pPr>
            <w:r>
              <w:rPr>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restart"/>
            <w:shd w:val="clear" w:color="auto" w:fill="auto"/>
            <w:vAlign w:val="center"/>
          </w:tcPr>
          <w:p>
            <w:pPr>
              <w:jc w:val="center"/>
              <w:rPr>
                <w:b/>
                <w:szCs w:val="21"/>
              </w:rPr>
            </w:pPr>
            <w:r>
              <w:rPr>
                <w:rFonts w:hint="eastAsia"/>
                <w:b/>
                <w:szCs w:val="21"/>
              </w:rPr>
              <w:t>1</w:t>
            </w:r>
          </w:p>
        </w:tc>
        <w:tc>
          <w:tcPr>
            <w:tcW w:w="744" w:type="dxa"/>
            <w:vMerge w:val="restart"/>
            <w:shd w:val="clear" w:color="auto" w:fill="auto"/>
            <w:vAlign w:val="center"/>
          </w:tcPr>
          <w:p>
            <w:pPr>
              <w:jc w:val="center"/>
              <w:rPr>
                <w:rFonts w:ascii="宋体" w:hAnsi="宋体"/>
                <w:szCs w:val="21"/>
              </w:rPr>
            </w:pPr>
            <w:r>
              <w:rPr>
                <w:rFonts w:hint="eastAsia" w:ascii="宋体" w:hAnsi="宋体"/>
                <w:szCs w:val="21"/>
              </w:rPr>
              <w:t>护理床头屏设备</w:t>
            </w: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1、主体材质：窄边框设计，支持医院消毒级清洁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2、安装方式：病房设备带镶嵌式安装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3、屏幕规格：</w:t>
            </w:r>
            <w:r>
              <w:rPr>
                <w:rFonts w:hint="eastAsia" w:ascii="宋体" w:hAnsi="宋体" w:cs="宋体"/>
                <w:kern w:val="0"/>
                <w:szCs w:val="21"/>
                <w:lang w:bidi="ar"/>
              </w:rPr>
              <w:t>≥</w:t>
            </w:r>
            <w:r>
              <w:rPr>
                <w:rFonts w:hint="eastAsia" w:ascii="宋体" w:hAnsi="宋体" w:cs="宋体"/>
                <w:color w:val="000000"/>
                <w:kern w:val="0"/>
                <w:szCs w:val="21"/>
                <w:lang w:bidi="ar"/>
              </w:rPr>
              <w:t>10.1英寸/IPS硬屏，分辨率等于或优于：800 × 1280；触摸操作：G+G 10点触控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24" w:type="dxa"/>
            <w:vMerge w:val="continue"/>
            <w:shd w:val="clear" w:color="auto" w:fill="auto"/>
            <w:vAlign w:val="center"/>
          </w:tcPr>
          <w:p>
            <w:pP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4、GPU：规格参数不低于IMG GE8300，主频660MHz，、存储：2G RAM/16G ROM或以上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24" w:type="dxa"/>
            <w:vMerge w:val="continue"/>
            <w:shd w:val="clear" w:color="auto" w:fill="auto"/>
            <w:vAlign w:val="center"/>
          </w:tcPr>
          <w:p>
            <w:pP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ascii="宋体" w:hAnsi="宋体" w:cs="宋体"/>
                <w:color w:val="000000"/>
                <w:kern w:val="0"/>
                <w:szCs w:val="21"/>
                <w:lang w:bidi="ar"/>
              </w:rPr>
              <w:t>5</w:t>
            </w:r>
            <w:r>
              <w:rPr>
                <w:rFonts w:hint="eastAsia" w:ascii="宋体" w:hAnsi="宋体" w:cs="宋体"/>
                <w:color w:val="000000"/>
                <w:kern w:val="0"/>
                <w:szCs w:val="21"/>
                <w:lang w:bidi="ar"/>
              </w:rPr>
              <w:t>、CPU：规格不低于MTK6761，四核 ARM Cortex-A53,主频2.0GHz；</w:t>
            </w:r>
            <w:r>
              <w:rPr>
                <w:rFonts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szCs w:val="21"/>
              </w:rPr>
            </w:pPr>
            <w:r>
              <w:rPr>
                <w:rFonts w:hint="eastAsia" w:ascii="宋体" w:hAnsi="宋体" w:cs="宋体"/>
                <w:b/>
                <w:color w:val="FF0000"/>
                <w:kern w:val="0"/>
                <w:szCs w:val="21"/>
                <w:lang w:bidi="ar"/>
              </w:rPr>
              <w:t>▲</w:t>
            </w:r>
            <w:r>
              <w:rPr>
                <w:rFonts w:ascii="宋体" w:hAnsi="宋体" w:cs="宋体"/>
                <w:b/>
                <w:color w:val="FF0000"/>
                <w:kern w:val="0"/>
                <w:szCs w:val="21"/>
                <w:lang w:bidi="ar"/>
              </w:rPr>
              <w:t>6</w:t>
            </w:r>
            <w:r>
              <w:rPr>
                <w:rFonts w:hint="eastAsia" w:ascii="宋体" w:hAnsi="宋体" w:cs="宋体"/>
                <w:b/>
                <w:color w:val="FF0000"/>
                <w:kern w:val="0"/>
                <w:szCs w:val="21"/>
                <w:lang w:bidi="ar"/>
              </w:rPr>
              <w:t>、摄像头：前置1300万像素＋AF自动对焦，麦克风：双硅MIC，降噪防啸叫高清通话，喇叭：内置，功率≥1.5W，以支持音视频呼叫功能。（需提供设备照片并标明摄像头位置）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szCs w:val="21"/>
              </w:rPr>
            </w:pPr>
            <w:r>
              <w:rPr>
                <w:rFonts w:hint="eastAsia" w:ascii="宋体" w:hAnsi="宋体" w:cs="宋体"/>
                <w:b/>
                <w:color w:val="FF0000"/>
                <w:kern w:val="0"/>
                <w:szCs w:val="21"/>
                <w:lang w:bidi="ar"/>
              </w:rPr>
              <w:t>▲</w:t>
            </w:r>
            <w:r>
              <w:rPr>
                <w:rFonts w:ascii="宋体" w:hAnsi="宋体" w:cs="宋体"/>
                <w:b/>
                <w:color w:val="FF0000"/>
                <w:szCs w:val="21"/>
              </w:rPr>
              <w:t>7</w:t>
            </w:r>
            <w:r>
              <w:rPr>
                <w:rFonts w:hint="eastAsia" w:ascii="宋体" w:hAnsi="宋体" w:cs="宋体"/>
                <w:b/>
                <w:color w:val="FF0000"/>
                <w:kern w:val="0"/>
                <w:szCs w:val="21"/>
                <w:lang w:bidi="ar"/>
              </w:rPr>
              <w:t>、系统兼容性高，需使用Android 10.0或以上（需提供后台安卓版本页面的拍照照片，不能使用截图）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ascii="宋体" w:hAnsi="宋体" w:cs="宋体"/>
                <w:color w:val="000000"/>
                <w:szCs w:val="21"/>
              </w:rPr>
              <w:t>8</w:t>
            </w:r>
            <w:r>
              <w:rPr>
                <w:rFonts w:hint="eastAsia" w:ascii="宋体" w:hAnsi="宋体" w:cs="宋体"/>
                <w:kern w:val="0"/>
                <w:szCs w:val="21"/>
                <w:lang w:bidi="ar"/>
              </w:rPr>
              <w:t>、</w:t>
            </w:r>
            <w:r>
              <w:rPr>
                <w:rFonts w:hint="eastAsia" w:ascii="宋体" w:hAnsi="宋体" w:cs="宋体"/>
                <w:color w:val="000000"/>
                <w:kern w:val="0"/>
                <w:szCs w:val="21"/>
                <w:lang w:bidi="ar"/>
              </w:rPr>
              <w:t>连接方式：Wi-Fi/蓝牙／NFC</w:t>
            </w:r>
            <w:r>
              <w:rPr>
                <w:rFonts w:ascii="宋体" w:hAnsi="宋体" w:cs="宋体"/>
                <w:color w:val="000000"/>
                <w:kern w:val="0"/>
                <w:szCs w:val="21"/>
                <w:lang w:bidi="ar"/>
              </w:rPr>
              <w:t>,</w:t>
            </w:r>
            <w:r>
              <w:rPr>
                <w:rFonts w:hint="eastAsia" w:ascii="宋体" w:hAnsi="宋体" w:cs="宋体"/>
                <w:color w:val="000000"/>
                <w:kern w:val="0"/>
                <w:szCs w:val="21"/>
                <w:lang w:bidi="ar"/>
              </w:rPr>
              <w:t xml:space="preserve"> 网络接口：RJ45，100M带宽，供电方式：POE+供电、支持12V2A电源供电，支持Reset复位功能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szCs w:val="21"/>
              </w:rPr>
            </w:pPr>
            <w:r>
              <w:rPr>
                <w:rFonts w:hint="eastAsia" w:ascii="宋体" w:hAnsi="宋体" w:cs="宋体"/>
                <w:b/>
                <w:color w:val="FF0000"/>
                <w:kern w:val="0"/>
                <w:szCs w:val="21"/>
                <w:lang w:bidi="ar"/>
              </w:rPr>
              <w:t>▲</w:t>
            </w:r>
            <w:r>
              <w:rPr>
                <w:rFonts w:ascii="宋体" w:hAnsi="宋体" w:cs="宋体"/>
                <w:b/>
                <w:color w:val="FF0000"/>
                <w:szCs w:val="21"/>
              </w:rPr>
              <w:t>9</w:t>
            </w:r>
            <w:r>
              <w:rPr>
                <w:rFonts w:hint="eastAsia" w:ascii="宋体" w:hAnsi="宋体" w:cs="宋体"/>
                <w:b/>
                <w:color w:val="FF0000"/>
                <w:kern w:val="0"/>
                <w:szCs w:val="21"/>
                <w:lang w:bidi="ar"/>
              </w:rPr>
              <w:t>、设备自身支持蓝牙定位，定位误差≤1米（需提供设备内蓝牙芯片的照片）</w:t>
            </w:r>
            <w:r>
              <w:rPr>
                <w:rFonts w:ascii="宋体" w:hAnsi="宋体" w:cs="宋体"/>
                <w:b/>
                <w:color w:val="FF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szCs w:val="21"/>
              </w:rPr>
            </w:pPr>
            <w:r>
              <w:rPr>
                <w:rFonts w:ascii="宋体" w:hAnsi="宋体" w:cs="宋体"/>
                <w:szCs w:val="21"/>
              </w:rPr>
              <w:t>10</w:t>
            </w:r>
            <w:r>
              <w:rPr>
                <w:rFonts w:hint="eastAsia" w:ascii="宋体" w:hAnsi="宋体" w:cs="宋体"/>
                <w:kern w:val="0"/>
                <w:szCs w:val="21"/>
                <w:lang w:bidi="ar"/>
              </w:rPr>
              <w:t>、可实现与护士站主机的双向语音呼叫对讲或视频对讲，支持护理呼叫、增援呼叫、文本呼叫，呼叫清除，</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kern w:val="0"/>
                <w:szCs w:val="21"/>
                <w:lang w:bidi="ar"/>
              </w:rPr>
              <w:t>11、呼叫方式支持数字IP呼叫／总线制呼叫，支持床头屏物理按键呼叫、屏幕触摸呼叫、智能手柄呼叫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r>
              <w:rPr>
                <w:rFonts w:hint="eastAsia" w:ascii="宋体" w:hAnsi="宋体" w:cs="宋体"/>
                <w:color w:val="000000"/>
                <w:szCs w:val="21"/>
              </w:rPr>
              <w:t>1</w:t>
            </w:r>
            <w:r>
              <w:rPr>
                <w:rFonts w:ascii="宋体" w:hAnsi="宋体" w:cs="宋体"/>
                <w:color w:val="000000"/>
                <w:szCs w:val="21"/>
              </w:rPr>
              <w:t>2</w:t>
            </w:r>
            <w:r>
              <w:rPr>
                <w:rFonts w:hint="eastAsia" w:ascii="宋体" w:hAnsi="宋体" w:cs="宋体"/>
                <w:kern w:val="0"/>
                <w:szCs w:val="21"/>
                <w:lang w:bidi="ar"/>
              </w:rPr>
              <w:t>、</w:t>
            </w:r>
            <w:r>
              <w:rPr>
                <w:rFonts w:hint="eastAsia" w:ascii="宋体" w:hAnsi="宋体" w:cs="宋体"/>
                <w:color w:val="000000"/>
                <w:kern w:val="0"/>
                <w:szCs w:val="21"/>
                <w:lang w:bidi="ar"/>
              </w:rPr>
              <w:t xml:space="preserve">展示患者姓名、性别、年龄、主管医生、责任护士、入院天数、入院日期、住院号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13</w:t>
            </w:r>
            <w:r>
              <w:rPr>
                <w:rFonts w:hint="eastAsia" w:ascii="宋体" w:hAnsi="宋体" w:cs="宋体"/>
                <w:kern w:val="0"/>
                <w:szCs w:val="21"/>
                <w:lang w:bidi="ar"/>
              </w:rPr>
              <w:t>、</w:t>
            </w:r>
            <w:r>
              <w:rPr>
                <w:rFonts w:hint="eastAsia" w:ascii="宋体" w:hAnsi="宋体" w:cs="宋体"/>
                <w:color w:val="000000"/>
                <w:kern w:val="0"/>
                <w:szCs w:val="21"/>
                <w:lang w:bidi="ar"/>
              </w:rPr>
              <w:t>患者病情保护机制，可用标识替代部分敏感信息；</w:t>
            </w:r>
            <w:r>
              <w:rPr>
                <w:rFonts w:hint="eastAsia"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14</w:t>
            </w:r>
            <w:r>
              <w:rPr>
                <w:rFonts w:hint="eastAsia" w:ascii="宋体" w:hAnsi="宋体" w:cs="宋体"/>
                <w:kern w:val="0"/>
                <w:szCs w:val="21"/>
                <w:lang w:bidi="ar"/>
              </w:rPr>
              <w:t>、</w:t>
            </w:r>
            <w:r>
              <w:rPr>
                <w:rFonts w:hint="eastAsia" w:ascii="宋体" w:hAnsi="宋体" w:cs="宋体"/>
                <w:color w:val="000000"/>
                <w:kern w:val="0"/>
                <w:szCs w:val="21"/>
                <w:lang w:bidi="ar"/>
              </w:rPr>
              <w:t>显眼的图标，体现患者的跌倒评估结果，如高危跌倒等, 展示传染途径的颜色标识；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15</w:t>
            </w:r>
            <w:r>
              <w:rPr>
                <w:rFonts w:hint="eastAsia" w:ascii="宋体" w:hAnsi="宋体" w:cs="宋体"/>
                <w:kern w:val="0"/>
                <w:szCs w:val="21"/>
                <w:lang w:bidi="ar"/>
              </w:rPr>
              <w:t>、</w:t>
            </w:r>
            <w:r>
              <w:rPr>
                <w:rFonts w:hint="eastAsia" w:ascii="宋体" w:hAnsi="宋体" w:cs="宋体"/>
                <w:color w:val="000000"/>
                <w:kern w:val="0"/>
                <w:szCs w:val="21"/>
                <w:lang w:bidi="ar"/>
              </w:rPr>
              <w:t>护理等级（如：一级护理，二级护理），饮食类型（如流质饮食），过敏史信息（如青霉素过敏）等基本信息，护理等级颜色与图标可依据需求替换；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szCs w:val="21"/>
              </w:rPr>
            </w:pPr>
            <w:r>
              <w:rPr>
                <w:rFonts w:hint="eastAsia" w:ascii="宋体" w:hAnsi="宋体" w:cs="宋体"/>
                <w:kern w:val="0"/>
                <w:szCs w:val="21"/>
                <w:lang w:bidi="ar"/>
              </w:rPr>
              <w:t>▲16、提供显眼的图标，体现患者的压疮评估结果，如高危压疮,</w:t>
            </w:r>
            <w:r>
              <w:rPr>
                <w:rFonts w:ascii="宋体" w:hAnsi="宋体" w:cs="宋体"/>
                <w:kern w:val="0"/>
                <w:szCs w:val="21"/>
                <w:lang w:bidi="ar"/>
              </w:rPr>
              <w:t>以及</w:t>
            </w:r>
            <w:r>
              <w:rPr>
                <w:rFonts w:hint="eastAsia" w:ascii="宋体" w:hAnsi="宋体" w:cs="宋体"/>
                <w:kern w:val="0"/>
                <w:szCs w:val="21"/>
                <w:lang w:bidi="ar"/>
              </w:rPr>
              <w:t>表征患者是否有过敏史；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17</w:t>
            </w:r>
            <w:r>
              <w:rPr>
                <w:rFonts w:hint="eastAsia" w:ascii="宋体" w:hAnsi="宋体" w:cs="宋体"/>
                <w:kern w:val="0"/>
                <w:szCs w:val="21"/>
                <w:lang w:bidi="ar"/>
              </w:rPr>
              <w:t>、</w:t>
            </w:r>
            <w:r>
              <w:rPr>
                <w:rFonts w:hint="eastAsia" w:ascii="宋体" w:hAnsi="宋体" w:cs="宋体"/>
                <w:color w:val="000000"/>
                <w:kern w:val="0"/>
                <w:szCs w:val="21"/>
                <w:lang w:bidi="ar"/>
              </w:rPr>
              <w:t>通过于医院HIS获取的输液监控系统及生命体征采集系统的对接数据，可显示该床位患者输液状态及生命体征各项参数；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18</w:t>
            </w:r>
            <w:r>
              <w:rPr>
                <w:rFonts w:hint="eastAsia" w:ascii="宋体" w:hAnsi="宋体" w:cs="宋体"/>
                <w:kern w:val="0"/>
                <w:szCs w:val="21"/>
                <w:lang w:bidi="ar"/>
              </w:rPr>
              <w:t>、</w:t>
            </w:r>
            <w:r>
              <w:rPr>
                <w:rFonts w:hint="eastAsia" w:ascii="宋体" w:hAnsi="宋体" w:cs="宋体"/>
                <w:color w:val="000000"/>
                <w:kern w:val="0"/>
                <w:szCs w:val="21"/>
                <w:lang w:bidi="ar"/>
              </w:rPr>
              <w:t>支持医院介绍内容展示, 支持医院宣传片上传与播放, 科室介绍内容展示, 支持播放护理宣教视频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szCs w:val="21"/>
              </w:rPr>
            </w:pPr>
            <w:r>
              <w:rPr>
                <w:rFonts w:hint="eastAsia" w:ascii="宋体" w:hAnsi="宋体" w:cs="宋体"/>
                <w:b/>
                <w:color w:val="FF0000"/>
                <w:kern w:val="0"/>
                <w:szCs w:val="21"/>
                <w:lang w:bidi="ar"/>
              </w:rPr>
              <w:t>▲19、</w:t>
            </w:r>
            <w:r>
              <w:rPr>
                <w:rFonts w:hint="eastAsia" w:ascii="宋体" w:hAnsi="宋体" w:cs="宋体"/>
                <w:b/>
                <w:color w:val="FF0000"/>
                <w:szCs w:val="21"/>
              </w:rPr>
              <w:t>床头屏设备自带屏幕亮度白天根据病房光线自动调节功能，夜间可通过系统自定义熄屏时间段 ，支持屏幕手势唤醒功能</w:t>
            </w:r>
            <w:r>
              <w:rPr>
                <w:rFonts w:hint="eastAsia" w:ascii="宋体" w:hAnsi="宋体" w:cs="宋体"/>
                <w:b/>
                <w:color w:val="FF0000"/>
                <w:kern w:val="0"/>
                <w:szCs w:val="21"/>
                <w:lang w:bidi="ar"/>
              </w:rPr>
              <w:t>（需提供后台设置界面截图或者照片证明）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20</w:t>
            </w:r>
            <w:r>
              <w:rPr>
                <w:rFonts w:hint="eastAsia" w:ascii="宋体" w:hAnsi="宋体" w:cs="宋体"/>
                <w:kern w:val="0"/>
                <w:szCs w:val="21"/>
                <w:lang w:bidi="ar"/>
              </w:rPr>
              <w:t>、</w:t>
            </w:r>
            <w:r>
              <w:rPr>
                <w:rFonts w:hint="eastAsia" w:ascii="宋体" w:hAnsi="宋体" w:cs="宋体"/>
                <w:color w:val="000000"/>
                <w:kern w:val="0"/>
                <w:szCs w:val="21"/>
                <w:lang w:bidi="ar"/>
              </w:rPr>
              <w:t>展示住院号对应的二维码或者条形码以供扫码使用，展示入院须知基本信息，医院向患者推送的通知，向患者推送消息提醒，如注意事项等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Cs w:val="21"/>
                <w:lang w:bidi="ar"/>
              </w:rPr>
            </w:pPr>
            <w:r>
              <w:rPr>
                <w:rFonts w:hint="eastAsia" w:ascii="宋体" w:hAnsi="宋体" w:cs="宋体"/>
                <w:kern w:val="0"/>
                <w:szCs w:val="21"/>
                <w:lang w:bidi="ar"/>
              </w:rPr>
              <w:t>▲21、</w:t>
            </w:r>
            <w:r>
              <w:rPr>
                <w:rFonts w:hint="eastAsia" w:ascii="宋体" w:hAnsi="宋体" w:cs="宋体"/>
                <w:szCs w:val="21"/>
              </w:rPr>
              <w:t>系统兼容医院原有护理床头屏设备，护理白板设备等硬件设备（安卓系统版本为6.0.1），同步完成现有所有护理床头屏设备的软件更新。后台监控设备的运行情况，如果出现死机主动提醒。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24" w:type="dxa"/>
            <w:vMerge w:val="continue"/>
            <w:shd w:val="clear" w:color="auto" w:fill="auto"/>
            <w:vAlign w:val="center"/>
          </w:tcPr>
          <w:p>
            <w:pPr>
              <w:jc w:val="center"/>
              <w:rPr>
                <w:b/>
                <w:szCs w:val="21"/>
              </w:rPr>
            </w:pPr>
          </w:p>
        </w:tc>
        <w:tc>
          <w:tcPr>
            <w:tcW w:w="744" w:type="dxa"/>
            <w:vMerge w:val="continue"/>
            <w:shd w:val="clear" w:color="auto" w:fill="auto"/>
          </w:tcPr>
          <w:p>
            <w:pPr>
              <w:rPr>
                <w:b/>
                <w:szCs w:val="21"/>
              </w:rPr>
            </w:pPr>
          </w:p>
        </w:tc>
        <w:tc>
          <w:tcPr>
            <w:tcW w:w="7052"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Cs w:val="21"/>
                <w:lang w:bidi="ar"/>
              </w:rPr>
            </w:pPr>
            <w:r>
              <w:rPr>
                <w:rFonts w:hint="eastAsia" w:ascii="宋体" w:hAnsi="宋体" w:cs="宋体"/>
                <w:kern w:val="0"/>
                <w:szCs w:val="21"/>
                <w:lang w:bidi="ar"/>
              </w:rPr>
              <w:t>▲</w:t>
            </w:r>
            <w:r>
              <w:rPr>
                <w:rFonts w:ascii="宋体" w:hAnsi="宋体" w:cs="宋体"/>
                <w:kern w:val="0"/>
                <w:szCs w:val="21"/>
                <w:lang w:bidi="ar"/>
              </w:rPr>
              <w:t>22</w:t>
            </w:r>
            <w:r>
              <w:rPr>
                <w:rFonts w:hint="eastAsia" w:ascii="宋体" w:hAnsi="宋体" w:cs="宋体"/>
                <w:kern w:val="0"/>
                <w:szCs w:val="21"/>
                <w:lang w:bidi="ar"/>
              </w:rPr>
              <w:t>、支持设备远程分批次更新，实时监控各设备的服务器连接状况、设备版本、网络连接状况、远程控制设备进行重启；支持OTA系统远程在线升级；</w:t>
            </w:r>
          </w:p>
        </w:tc>
      </w:tr>
    </w:tbl>
    <w:p>
      <w:pPr>
        <w:rPr>
          <w:b/>
          <w:szCs w:val="21"/>
        </w:rPr>
      </w:pPr>
    </w:p>
    <w:p>
      <w:pPr>
        <w:rPr>
          <w:b/>
          <w:szCs w:val="21"/>
        </w:rPr>
      </w:pPr>
    </w:p>
    <w:p>
      <w:pPr>
        <w:pStyle w:val="5"/>
        <w:spacing w:before="120" w:beforeLines="50" w:after="120" w:afterLines="50"/>
        <w:rPr>
          <w:sz w:val="28"/>
          <w:szCs w:val="28"/>
        </w:rPr>
      </w:pPr>
      <w:r>
        <w:rPr>
          <w:rFonts w:hint="eastAsia"/>
          <w:sz w:val="28"/>
          <w:szCs w:val="28"/>
        </w:rPr>
        <w:t>四、商务需求</w:t>
      </w:r>
    </w:p>
    <w:p/>
    <w:tbl>
      <w:tblPr>
        <w:tblStyle w:val="54"/>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目录</w:t>
            </w:r>
          </w:p>
        </w:tc>
        <w:tc>
          <w:tcPr>
            <w:tcW w:w="5940"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0" w:type="dxa"/>
            <w:gridSpan w:val="3"/>
          </w:tcPr>
          <w:p>
            <w:pPr>
              <w:rPr>
                <w:b/>
              </w:rPr>
            </w:pPr>
            <w:r>
              <w:rPr>
                <w:rFonts w:hint="eastAsia"/>
                <w:b/>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260" w:type="dxa"/>
            <w:vAlign w:val="center"/>
          </w:tcPr>
          <w:p>
            <w:pPr>
              <w:jc w:val="center"/>
              <w:rPr>
                <w:b/>
              </w:rPr>
            </w:pPr>
            <w:r>
              <w:rPr>
                <w:rFonts w:hint="eastAsia"/>
                <w:b/>
              </w:rPr>
              <w:t>1</w:t>
            </w:r>
          </w:p>
        </w:tc>
        <w:tc>
          <w:tcPr>
            <w:tcW w:w="1620" w:type="dxa"/>
            <w:vAlign w:val="center"/>
          </w:tcPr>
          <w:p>
            <w:r>
              <w:rPr>
                <w:rFonts w:hint="eastAsia"/>
              </w:rPr>
              <w:t>免费保修期</w:t>
            </w:r>
          </w:p>
        </w:tc>
        <w:tc>
          <w:tcPr>
            <w:tcW w:w="5940" w:type="dxa"/>
          </w:tcPr>
          <w:p>
            <w:pPr>
              <w:rPr>
                <w:b/>
              </w:rPr>
            </w:pPr>
            <w:r>
              <w:rPr>
                <w:rFonts w:hint="eastAsia"/>
                <w:b/>
                <w:szCs w:val="21"/>
              </w:rPr>
              <w:t>货物免费保修期</w:t>
            </w:r>
            <w:r>
              <w:rPr>
                <w:rFonts w:hint="eastAsia"/>
                <w:bCs/>
                <w:szCs w:val="21"/>
              </w:rPr>
              <w:t>原厂全保</w:t>
            </w:r>
            <w:r>
              <w:rPr>
                <w:rFonts w:hint="eastAsia"/>
                <w:b/>
                <w:szCs w:val="21"/>
                <w:u w:val="single"/>
              </w:rPr>
              <w:t xml:space="preserve">  </w:t>
            </w:r>
            <w:r>
              <w:rPr>
                <w:b/>
                <w:szCs w:val="21"/>
                <w:u w:val="single"/>
              </w:rPr>
              <w:t>1</w:t>
            </w:r>
            <w:r>
              <w:rPr>
                <w:rFonts w:hint="eastAsia"/>
                <w:b/>
                <w:szCs w:val="21"/>
                <w:u w:val="single"/>
              </w:rPr>
              <w:t xml:space="preserve">  </w:t>
            </w:r>
            <w:r>
              <w:rPr>
                <w:rFonts w:hint="eastAsia"/>
                <w:b/>
                <w:szCs w:val="21"/>
              </w:rPr>
              <w:t>年</w:t>
            </w:r>
            <w:r>
              <w:rPr>
                <w:rFonts w:hint="eastAsia"/>
                <w:bCs/>
                <w:szCs w:val="21"/>
              </w:rPr>
              <w:t>，时间自最终验收合格并交付使用之日起计算。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260" w:type="dxa"/>
            <w:vAlign w:val="center"/>
          </w:tcPr>
          <w:p>
            <w:pPr>
              <w:jc w:val="center"/>
              <w:rPr>
                <w:b/>
              </w:rPr>
            </w:pPr>
            <w:r>
              <w:rPr>
                <w:rFonts w:hint="eastAsia"/>
                <w:b/>
              </w:rPr>
              <w:t>2</w:t>
            </w:r>
          </w:p>
        </w:tc>
        <w:tc>
          <w:tcPr>
            <w:tcW w:w="1620" w:type="dxa"/>
            <w:vAlign w:val="center"/>
          </w:tcPr>
          <w:p>
            <w:r>
              <w:rPr>
                <w:rFonts w:hint="eastAsia"/>
              </w:rPr>
              <w:t>保修期</w:t>
            </w:r>
            <w:r>
              <w:t>内零件工时费用</w:t>
            </w:r>
          </w:p>
        </w:tc>
        <w:tc>
          <w:tcPr>
            <w:tcW w:w="5940" w:type="dxa"/>
          </w:tcPr>
          <w:p>
            <w:pPr>
              <w:rPr>
                <w:bCs/>
                <w:szCs w:val="21"/>
              </w:rPr>
            </w:pPr>
            <w:r>
              <w:rPr>
                <w:rFonts w:hint="eastAsia"/>
                <w:szCs w:val="21"/>
              </w:rPr>
              <w:t>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260" w:type="dxa"/>
            <w:vAlign w:val="center"/>
          </w:tcPr>
          <w:p>
            <w:pPr>
              <w:jc w:val="center"/>
              <w:rPr>
                <w:b/>
              </w:rPr>
            </w:pPr>
            <w:r>
              <w:rPr>
                <w:rFonts w:hint="eastAsia"/>
                <w:b/>
              </w:rPr>
              <w:t>3</w:t>
            </w:r>
          </w:p>
        </w:tc>
        <w:tc>
          <w:tcPr>
            <w:tcW w:w="1620" w:type="dxa"/>
            <w:vAlign w:val="center"/>
          </w:tcPr>
          <w:p>
            <w:r>
              <w:rPr>
                <w:rFonts w:hint="eastAsia"/>
              </w:rPr>
              <w:t>保修期</w:t>
            </w:r>
            <w:r>
              <w:t>内</w:t>
            </w:r>
            <w:r>
              <w:rPr>
                <w:rFonts w:hint="eastAsia"/>
                <w:szCs w:val="21"/>
              </w:rPr>
              <w:t>年度维护保养</w:t>
            </w:r>
          </w:p>
        </w:tc>
        <w:tc>
          <w:tcPr>
            <w:tcW w:w="5940" w:type="dxa"/>
          </w:tcPr>
          <w:p>
            <w:pPr>
              <w:rPr>
                <w:bCs/>
                <w:szCs w:val="21"/>
              </w:rPr>
            </w:pPr>
            <w:r>
              <w:rPr>
                <w:rFonts w:hint="eastAsia"/>
                <w:szCs w:val="21"/>
              </w:rPr>
              <w:t>保修期内，年度定期预防性维护保养次数应不少于</w:t>
            </w:r>
            <w:r>
              <w:rPr>
                <w:rFonts w:hint="eastAsia"/>
                <w:b/>
                <w:szCs w:val="21"/>
                <w:u w:val="single"/>
              </w:rPr>
              <w:t xml:space="preserve"> 2 </w:t>
            </w:r>
            <w:r>
              <w:rPr>
                <w:rFonts w:hint="eastAsia"/>
                <w:b/>
                <w:szCs w:val="21"/>
              </w:rPr>
              <w:t>次</w:t>
            </w:r>
            <w:r>
              <w:rPr>
                <w:rFonts w:hint="eastAsia"/>
                <w:szCs w:val="21"/>
              </w:rPr>
              <w:t>，并提供</w:t>
            </w:r>
            <w:r>
              <w:rPr>
                <w:rFonts w:hint="eastAsia"/>
                <w:bCs/>
                <w:szCs w:val="21"/>
              </w:rPr>
              <w:t>维护保养报告</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60" w:type="dxa"/>
            <w:vAlign w:val="center"/>
          </w:tcPr>
          <w:p>
            <w:pPr>
              <w:jc w:val="center"/>
              <w:rPr>
                <w:b/>
              </w:rPr>
            </w:pPr>
            <w:r>
              <w:rPr>
                <w:rFonts w:hint="eastAsia"/>
                <w:b/>
              </w:rPr>
              <w:t>4</w:t>
            </w:r>
          </w:p>
        </w:tc>
        <w:tc>
          <w:tcPr>
            <w:tcW w:w="1620" w:type="dxa"/>
          </w:tcPr>
          <w:p>
            <w:r>
              <w:rPr>
                <w:rFonts w:hint="eastAsia"/>
              </w:rPr>
              <w:t>维修响应及故障解决时间</w:t>
            </w:r>
          </w:p>
        </w:tc>
        <w:tc>
          <w:tcPr>
            <w:tcW w:w="5940" w:type="dxa"/>
          </w:tcPr>
          <w:p>
            <w:pPr>
              <w:rPr>
                <w:szCs w:val="21"/>
              </w:rPr>
            </w:pPr>
            <w:r>
              <w:rPr>
                <w:rFonts w:hint="eastAsia"/>
                <w:szCs w:val="21"/>
              </w:rPr>
              <w:t>在保修期内，一旦发生质量问题，由货物制造商提供售后服务，</w:t>
            </w:r>
          </w:p>
          <w:p>
            <w:r>
              <w:rPr>
                <w:rFonts w:hint="eastAsia"/>
                <w:b/>
                <w:szCs w:val="21"/>
              </w:rPr>
              <w:t xml:space="preserve">2小时内 </w:t>
            </w:r>
            <w:r>
              <w:rPr>
                <w:rFonts w:hint="eastAsia"/>
                <w:szCs w:val="21"/>
              </w:rPr>
              <w:t>响应，</w:t>
            </w:r>
            <w:r>
              <w:rPr>
                <w:rFonts w:hint="eastAsia"/>
                <w:b/>
                <w:szCs w:val="21"/>
              </w:rPr>
              <w:t>24 小时内</w:t>
            </w:r>
            <w:r>
              <w:rPr>
                <w:rFonts w:hint="eastAsia"/>
                <w:bCs/>
                <w:szCs w:val="21"/>
              </w:rPr>
              <w:t xml:space="preserve"> </w:t>
            </w:r>
            <w:r>
              <w:rPr>
                <w:rFonts w:hint="eastAsia"/>
                <w:szCs w:val="21"/>
              </w:rPr>
              <w:t>完成维修，零配件供应及时。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60" w:type="dxa"/>
            <w:vAlign w:val="center"/>
          </w:tcPr>
          <w:p>
            <w:pPr>
              <w:jc w:val="center"/>
              <w:rPr>
                <w:b/>
              </w:rPr>
            </w:pPr>
            <w:r>
              <w:rPr>
                <w:rFonts w:hint="eastAsia"/>
                <w:b/>
              </w:rPr>
              <w:t>5</w:t>
            </w:r>
          </w:p>
        </w:tc>
        <w:tc>
          <w:tcPr>
            <w:tcW w:w="1620" w:type="dxa"/>
          </w:tcPr>
          <w:p>
            <w:r>
              <w:rPr>
                <w:rFonts w:hint="eastAsia"/>
              </w:rPr>
              <w:t>发生</w:t>
            </w:r>
            <w:r>
              <w:t>质量问题</w:t>
            </w:r>
            <w:r>
              <w:rPr>
                <w:rFonts w:hint="eastAsia"/>
              </w:rPr>
              <w:t>的</w:t>
            </w:r>
            <w:r>
              <w:t>处理方式</w:t>
            </w:r>
          </w:p>
        </w:tc>
        <w:tc>
          <w:tcPr>
            <w:tcW w:w="5940" w:type="dxa"/>
          </w:tcPr>
          <w:p>
            <w:pPr>
              <w:rPr>
                <w:bCs/>
                <w:szCs w:val="21"/>
              </w:rPr>
            </w:pPr>
            <w:r>
              <w:rPr>
                <w:rFonts w:hint="eastAsia"/>
                <w:bCs/>
                <w:szCs w:val="21"/>
              </w:rPr>
              <w:t>免费</w:t>
            </w:r>
            <w:r>
              <w:rPr>
                <w:bCs/>
                <w:szCs w:val="21"/>
              </w:rPr>
              <w:t>保修</w:t>
            </w:r>
            <w:r>
              <w:rPr>
                <w:rFonts w:hint="eastAsia"/>
                <w:bCs/>
                <w:szCs w:val="21"/>
              </w:rPr>
              <w:t>期内，如果有因质量问题而引起的损坏，中标人应对产品予以维修或更换，全部服务费和更换产品或配件的费用由中标人承担，中标人如不能修理或不能调换，按产品原价赔偿处理。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60" w:type="dxa"/>
            <w:vAlign w:val="center"/>
          </w:tcPr>
          <w:p>
            <w:pPr>
              <w:jc w:val="center"/>
              <w:rPr>
                <w:b/>
              </w:rPr>
            </w:pPr>
            <w:r>
              <w:rPr>
                <w:rFonts w:hint="eastAsia"/>
                <w:b/>
              </w:rPr>
              <w:t>6</w:t>
            </w:r>
          </w:p>
        </w:tc>
        <w:tc>
          <w:tcPr>
            <w:tcW w:w="1620" w:type="dxa"/>
          </w:tcPr>
          <w:p>
            <w:r>
              <w:rPr>
                <w:rFonts w:hint="eastAsia"/>
              </w:rPr>
              <w:t>关于延长</w:t>
            </w:r>
            <w:r>
              <w:t>保修期</w:t>
            </w:r>
          </w:p>
        </w:tc>
        <w:tc>
          <w:tcPr>
            <w:tcW w:w="5940" w:type="dxa"/>
          </w:tcPr>
          <w:p>
            <w:pPr>
              <w:spacing w:line="300" w:lineRule="exact"/>
              <w:rPr>
                <w:szCs w:val="21"/>
              </w:rPr>
            </w:pPr>
            <w:r>
              <w:rPr>
                <w:rFonts w:hint="eastAsia"/>
                <w:szCs w:val="21"/>
              </w:rPr>
              <w:t>在保修期内, 投标人应确保年开机率在98%以上, 若不能达到此开机率，将作以下处理：</w:t>
            </w:r>
          </w:p>
          <w:p>
            <w:pPr>
              <w:spacing w:line="300" w:lineRule="exact"/>
              <w:rPr>
                <w:szCs w:val="21"/>
              </w:rPr>
            </w:pPr>
            <w:r>
              <w:rPr>
                <w:rFonts w:hint="eastAsia"/>
                <w:szCs w:val="21"/>
              </w:rPr>
              <w:t>a. 年开机率在90-98%之间，</w:t>
            </w:r>
            <w:r>
              <w:rPr>
                <w:rFonts w:hint="eastAsia"/>
                <w:b/>
                <w:bCs/>
                <w:szCs w:val="21"/>
              </w:rPr>
              <w:t xml:space="preserve">赔 </w:t>
            </w:r>
            <w:r>
              <w:rPr>
                <w:rFonts w:hint="eastAsia"/>
                <w:b/>
                <w:bCs/>
                <w:szCs w:val="21"/>
                <w:u w:val="single"/>
              </w:rPr>
              <w:t xml:space="preserve"> 1 </w:t>
            </w:r>
            <w:r>
              <w:rPr>
                <w:rFonts w:hint="eastAsia"/>
                <w:b/>
                <w:bCs/>
                <w:szCs w:val="21"/>
              </w:rPr>
              <w:t xml:space="preserve"> 年</w:t>
            </w:r>
            <w:r>
              <w:rPr>
                <w:rFonts w:hint="eastAsia"/>
                <w:szCs w:val="21"/>
              </w:rPr>
              <w:t xml:space="preserve"> 延长保修期；</w:t>
            </w:r>
          </w:p>
          <w:p>
            <w:pPr>
              <w:spacing w:line="300" w:lineRule="exact"/>
              <w:rPr>
                <w:szCs w:val="21"/>
              </w:rPr>
            </w:pPr>
            <w:r>
              <w:rPr>
                <w:rFonts w:hint="eastAsia"/>
                <w:szCs w:val="21"/>
              </w:rPr>
              <w:t>b. 年开机率在85-90%之间，</w:t>
            </w:r>
            <w:r>
              <w:rPr>
                <w:rFonts w:hint="eastAsia"/>
                <w:b/>
                <w:bCs/>
                <w:szCs w:val="21"/>
              </w:rPr>
              <w:t xml:space="preserve">赔 </w:t>
            </w:r>
            <w:r>
              <w:rPr>
                <w:rFonts w:hint="eastAsia"/>
                <w:b/>
                <w:bCs/>
                <w:szCs w:val="21"/>
                <w:u w:val="single"/>
              </w:rPr>
              <w:t xml:space="preserve"> 2 </w:t>
            </w:r>
            <w:r>
              <w:rPr>
                <w:rFonts w:hint="eastAsia"/>
                <w:b/>
                <w:bCs/>
                <w:szCs w:val="21"/>
              </w:rPr>
              <w:t xml:space="preserve"> 年 </w:t>
            </w:r>
            <w:r>
              <w:rPr>
                <w:rFonts w:hint="eastAsia"/>
                <w:szCs w:val="21"/>
              </w:rPr>
              <w:t>延长保修期；</w:t>
            </w:r>
          </w:p>
          <w:p>
            <w:pPr>
              <w:spacing w:line="300" w:lineRule="exact"/>
              <w:rPr>
                <w:szCs w:val="21"/>
              </w:rPr>
            </w:pPr>
            <w:r>
              <w:rPr>
                <w:rFonts w:hint="eastAsia"/>
                <w:szCs w:val="21"/>
              </w:rPr>
              <w:t xml:space="preserve">c. 年开机率低于85%，投标人必须无条件更换新机，并重新计算保修期，以及赔偿用户的直接经济损失和间接经济损失。 </w:t>
            </w:r>
          </w:p>
          <w:p>
            <w:pPr>
              <w:rPr>
                <w:bCs/>
                <w:szCs w:val="21"/>
              </w:rPr>
            </w:pPr>
            <w:r>
              <w:rPr>
                <w:rFonts w:hint="eastAsia"/>
                <w:szCs w:val="21"/>
              </w:rPr>
              <w:t xml:space="preserve">   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60" w:type="dxa"/>
            <w:vAlign w:val="center"/>
          </w:tcPr>
          <w:p>
            <w:pPr>
              <w:jc w:val="center"/>
              <w:rPr>
                <w:b/>
              </w:rPr>
            </w:pPr>
            <w:r>
              <w:rPr>
                <w:rFonts w:hint="eastAsia"/>
                <w:b/>
              </w:rPr>
              <w:t>7</w:t>
            </w:r>
          </w:p>
        </w:tc>
        <w:tc>
          <w:tcPr>
            <w:tcW w:w="1620" w:type="dxa"/>
            <w:vAlign w:val="center"/>
          </w:tcPr>
          <w:p>
            <w:pPr>
              <w:rPr>
                <w:b/>
              </w:rPr>
            </w:pPr>
            <w:r>
              <w:rPr>
                <w:rFonts w:hint="eastAsia"/>
              </w:rPr>
              <w:t>其他</w:t>
            </w:r>
          </w:p>
        </w:tc>
        <w:tc>
          <w:tcPr>
            <w:tcW w:w="5940" w:type="dxa"/>
            <w:vAlign w:val="center"/>
          </w:tcPr>
          <w:p>
            <w:pPr>
              <w:rPr>
                <w:b/>
              </w:rPr>
            </w:pPr>
            <w:r>
              <w:rPr>
                <w:rFonts w:hint="eastAsia"/>
                <w:bCs/>
                <w:szCs w:val="21"/>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820" w:type="dxa"/>
            <w:gridSpan w:val="3"/>
          </w:tcPr>
          <w:p>
            <w:pPr>
              <w:rPr>
                <w:b/>
              </w:rPr>
            </w:pPr>
            <w:r>
              <w:rPr>
                <w:rFonts w:hint="eastAsia"/>
                <w:b/>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0" w:type="dxa"/>
            <w:vMerge w:val="restart"/>
            <w:vAlign w:val="center"/>
          </w:tcPr>
          <w:p>
            <w:pPr>
              <w:jc w:val="center"/>
              <w:rPr>
                <w:b/>
              </w:rPr>
            </w:pPr>
            <w:r>
              <w:rPr>
                <w:rFonts w:hint="eastAsia"/>
                <w:b/>
              </w:rPr>
              <w:t>1</w:t>
            </w:r>
          </w:p>
        </w:tc>
        <w:tc>
          <w:tcPr>
            <w:tcW w:w="1620" w:type="dxa"/>
            <w:vMerge w:val="restart"/>
            <w:vAlign w:val="center"/>
          </w:tcPr>
          <w:p>
            <w:pPr>
              <w:jc w:val="center"/>
            </w:pPr>
            <w:r>
              <w:rPr>
                <w:rFonts w:hint="eastAsia"/>
              </w:rPr>
              <w:t>关于交货</w:t>
            </w:r>
          </w:p>
        </w:tc>
        <w:tc>
          <w:tcPr>
            <w:tcW w:w="5940" w:type="dxa"/>
          </w:tcPr>
          <w:p>
            <w:pPr>
              <w:rPr>
                <w:bCs/>
                <w:szCs w:val="21"/>
              </w:rPr>
            </w:pPr>
            <w:r>
              <w:rPr>
                <w:rFonts w:hint="eastAsia"/>
                <w:bCs/>
                <w:szCs w:val="21"/>
              </w:rPr>
              <w:t>1.1</w:t>
            </w:r>
            <w:r>
              <w:rPr>
                <w:bCs/>
                <w:szCs w:val="21"/>
              </w:rPr>
              <w:t xml:space="preserve"> </w:t>
            </w:r>
            <w:r>
              <w:rPr>
                <w:rFonts w:hint="eastAsia"/>
                <w:bCs/>
                <w:szCs w:val="21"/>
              </w:rPr>
              <w:t>签订合同后</w:t>
            </w:r>
            <w:r>
              <w:rPr>
                <w:rFonts w:hint="eastAsia"/>
                <w:b/>
                <w:szCs w:val="21"/>
                <w:u w:val="single"/>
              </w:rPr>
              <w:t xml:space="preserve">  3</w:t>
            </w:r>
            <w:r>
              <w:rPr>
                <w:b/>
                <w:szCs w:val="21"/>
                <w:u w:val="single"/>
              </w:rPr>
              <w:t xml:space="preserve">0 </w:t>
            </w:r>
            <w:r>
              <w:rPr>
                <w:rFonts w:hint="eastAsia"/>
                <w:b/>
                <w:szCs w:val="21"/>
                <w:u w:val="single"/>
              </w:rPr>
              <w:t xml:space="preserve"> </w:t>
            </w:r>
            <w:r>
              <w:rPr>
                <w:rFonts w:hint="eastAsia"/>
                <w:b/>
                <w:szCs w:val="21"/>
              </w:rPr>
              <w:t>天</w:t>
            </w:r>
            <w:r>
              <w:rPr>
                <w:rFonts w:hint="eastAsia"/>
                <w:bCs/>
                <w:szCs w:val="21"/>
              </w:rPr>
              <w:t>（日历日）内。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tcPr>
          <w:p>
            <w:pPr>
              <w:rPr>
                <w:bCs/>
                <w:szCs w:val="21"/>
              </w:rPr>
            </w:pPr>
            <w:r>
              <w:rPr>
                <w:rFonts w:hint="eastAsia"/>
                <w:bCs/>
                <w:szCs w:val="21"/>
              </w:rPr>
              <w:t>1.2</w:t>
            </w:r>
            <w:r>
              <w:rPr>
                <w:bCs/>
                <w:szCs w:val="21"/>
              </w:rPr>
              <w:t xml:space="preserve"> </w:t>
            </w:r>
            <w:r>
              <w:rPr>
                <w:rFonts w:hint="eastAsia"/>
                <w:bCs/>
                <w:szCs w:val="21"/>
              </w:rPr>
              <w:t>投标人必须承担的设备运输、安装调试、验收检测和提供设备操作说明书、图纸等其他类似的义务。中标人应委派技术人员进行现场安装、调试，并提供货物安装调试的一切技术支持。安装调试的具体时间由采购人提前3天通知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tcPr>
          <w:p>
            <w:pPr>
              <w:spacing w:line="340" w:lineRule="exact"/>
              <w:rPr>
                <w:bCs/>
                <w:szCs w:val="21"/>
              </w:rPr>
            </w:pPr>
            <w:r>
              <w:rPr>
                <w:rFonts w:hint="eastAsia"/>
                <w:bCs/>
                <w:szCs w:val="21"/>
              </w:rPr>
              <w:t>1.3 交货（具体）地点：</w:t>
            </w:r>
            <w:r>
              <w:rPr>
                <w:rFonts w:hint="eastAsia"/>
                <w:b/>
                <w:color w:val="FF0000"/>
                <w:szCs w:val="21"/>
              </w:rPr>
              <w:t>深圳市西丽大学城学苑大道1098号 深圳大学总医院指定地点。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tcPr>
          <w:p>
            <w:pPr>
              <w:spacing w:line="340" w:lineRule="exact"/>
              <w:rPr>
                <w:bCs/>
                <w:szCs w:val="21"/>
              </w:rPr>
            </w:pPr>
            <w:r>
              <w:rPr>
                <w:rFonts w:hint="eastAsia"/>
                <w:b/>
                <w:color w:val="FF0000"/>
                <w:szCs w:val="21"/>
              </w:rPr>
              <w:t>1.4从中华人民共和国海关境内提供的货物</w:t>
            </w:r>
            <w:r>
              <w:rPr>
                <w:rFonts w:hint="eastAsia"/>
                <w:bCs/>
                <w:szCs w:val="21"/>
              </w:rPr>
              <w:t>，技术资料应齐全，提供但不限于如下技术文件和资料：</w:t>
            </w:r>
          </w:p>
          <w:p>
            <w:pPr>
              <w:spacing w:line="340" w:lineRule="exact"/>
              <w:rPr>
                <w:bCs/>
                <w:szCs w:val="21"/>
              </w:rPr>
            </w:pPr>
            <w:r>
              <w:rPr>
                <w:rFonts w:hint="eastAsia"/>
                <w:bCs/>
                <w:szCs w:val="21"/>
              </w:rPr>
              <w:t>（1）产品安装、操作和维修保养手册；</w:t>
            </w:r>
          </w:p>
          <w:p>
            <w:pPr>
              <w:spacing w:line="340" w:lineRule="exact"/>
              <w:rPr>
                <w:bCs/>
                <w:szCs w:val="21"/>
              </w:rPr>
            </w:pPr>
            <w:r>
              <w:rPr>
                <w:rFonts w:hint="eastAsia"/>
                <w:bCs/>
                <w:szCs w:val="21"/>
              </w:rPr>
              <w:t>（2）产品使用说明书；</w:t>
            </w:r>
          </w:p>
          <w:p>
            <w:pPr>
              <w:spacing w:line="340" w:lineRule="exact"/>
              <w:rPr>
                <w:bCs/>
                <w:szCs w:val="21"/>
              </w:rPr>
            </w:pPr>
            <w:r>
              <w:rPr>
                <w:rFonts w:hint="eastAsia"/>
                <w:bCs/>
                <w:szCs w:val="21"/>
              </w:rPr>
              <w:t>（3）产品出厂检验合格证；</w:t>
            </w:r>
          </w:p>
          <w:p>
            <w:pPr>
              <w:spacing w:line="340" w:lineRule="exact"/>
              <w:rPr>
                <w:bCs/>
                <w:szCs w:val="21"/>
              </w:rPr>
            </w:pPr>
            <w:r>
              <w:rPr>
                <w:rFonts w:hint="eastAsia"/>
                <w:bCs/>
                <w:szCs w:val="21"/>
              </w:rPr>
              <w:t>（4）产品到货清单；</w:t>
            </w:r>
          </w:p>
          <w:p>
            <w:pPr>
              <w:spacing w:line="340" w:lineRule="exact"/>
              <w:rPr>
                <w:bCs/>
                <w:szCs w:val="21"/>
              </w:rPr>
            </w:pPr>
            <w:r>
              <w:rPr>
                <w:rFonts w:hint="eastAsia"/>
                <w:bCs/>
                <w:szCs w:val="21"/>
              </w:rPr>
              <w:t>（5）产品保修证明；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Align w:val="center"/>
          </w:tcPr>
          <w:p>
            <w:pPr>
              <w:jc w:val="center"/>
              <w:rPr>
                <w:b/>
              </w:rPr>
            </w:pPr>
            <w:r>
              <w:rPr>
                <w:rFonts w:hint="eastAsia"/>
                <w:b/>
              </w:rPr>
              <w:t>2</w:t>
            </w:r>
          </w:p>
        </w:tc>
        <w:tc>
          <w:tcPr>
            <w:tcW w:w="1620" w:type="dxa"/>
            <w:vAlign w:val="center"/>
          </w:tcPr>
          <w:p>
            <w:pPr>
              <w:jc w:val="center"/>
            </w:pPr>
            <w:r>
              <w:rPr>
                <w:rFonts w:hint="eastAsia"/>
                <w:kern w:val="0"/>
              </w:rPr>
              <w:t>质量保证</w:t>
            </w:r>
          </w:p>
        </w:tc>
        <w:tc>
          <w:tcPr>
            <w:tcW w:w="5940" w:type="dxa"/>
            <w:vAlign w:val="center"/>
          </w:tcPr>
          <w:p>
            <w:pPr>
              <w:spacing w:line="340" w:lineRule="exact"/>
              <w:rPr>
                <w:bCs/>
                <w:szCs w:val="21"/>
              </w:rPr>
            </w:pPr>
            <w:r>
              <w:rPr>
                <w:szCs w:val="21"/>
              </w:rPr>
              <w:t>2</w:t>
            </w:r>
            <w:r>
              <w:rPr>
                <w:rFonts w:hint="eastAsia"/>
                <w:szCs w:val="21"/>
              </w:rPr>
              <w:t>.保证所提供的产品全部采用优质材料和一流工艺制造而成，并未曾使用过的全新产品；所供产品均为原厂正品，决不使用任何劣货、假货等产品。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restart"/>
            <w:vAlign w:val="center"/>
          </w:tcPr>
          <w:p>
            <w:pPr>
              <w:jc w:val="center"/>
              <w:rPr>
                <w:b/>
              </w:rPr>
            </w:pPr>
            <w:r>
              <w:rPr>
                <w:b/>
              </w:rPr>
              <w:t>3</w:t>
            </w:r>
          </w:p>
        </w:tc>
        <w:tc>
          <w:tcPr>
            <w:tcW w:w="1620" w:type="dxa"/>
            <w:vMerge w:val="restart"/>
            <w:vAlign w:val="center"/>
          </w:tcPr>
          <w:p>
            <w:pPr>
              <w:jc w:val="center"/>
            </w:pPr>
            <w:r>
              <w:rPr>
                <w:rFonts w:hint="eastAsia"/>
              </w:rPr>
              <w:t>关于验收</w:t>
            </w:r>
          </w:p>
        </w:tc>
        <w:tc>
          <w:tcPr>
            <w:tcW w:w="5940" w:type="dxa"/>
          </w:tcPr>
          <w:p>
            <w:pPr>
              <w:spacing w:line="340" w:lineRule="exact"/>
              <w:rPr>
                <w:bCs/>
                <w:szCs w:val="21"/>
              </w:rPr>
            </w:pPr>
            <w:r>
              <w:rPr>
                <w:bCs/>
                <w:szCs w:val="21"/>
              </w:rPr>
              <w:t>3</w:t>
            </w:r>
            <w:r>
              <w:rPr>
                <w:rFonts w:hint="eastAsia"/>
                <w:bCs/>
                <w:szCs w:val="21"/>
              </w:rPr>
              <w:t>.1</w:t>
            </w:r>
            <w:r>
              <w:rPr>
                <w:bCs/>
                <w:szCs w:val="21"/>
              </w:rPr>
              <w:t xml:space="preserve"> </w:t>
            </w:r>
            <w:r>
              <w:rPr>
                <w:rFonts w:hint="eastAsia"/>
                <w:bCs/>
                <w:szCs w:val="21"/>
              </w:rPr>
              <w:t>投标人货物经过双方检验认可后，签署验收报告，产品保修期自验收合格之日起算，由投标人提供产品保修文件。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tcPr>
          <w:p/>
        </w:tc>
        <w:tc>
          <w:tcPr>
            <w:tcW w:w="5940" w:type="dxa"/>
          </w:tcPr>
          <w:p>
            <w:pPr>
              <w:spacing w:line="340" w:lineRule="exact"/>
              <w:rPr>
                <w:bCs/>
                <w:szCs w:val="21"/>
              </w:rPr>
            </w:pPr>
            <w:r>
              <w:rPr>
                <w:bCs/>
                <w:szCs w:val="21"/>
              </w:rPr>
              <w:t>3</w:t>
            </w:r>
            <w:r>
              <w:rPr>
                <w:rFonts w:hint="eastAsia"/>
                <w:bCs/>
                <w:szCs w:val="21"/>
              </w:rPr>
              <w:t>.2</w:t>
            </w:r>
            <w:r>
              <w:rPr>
                <w:bCs/>
                <w:szCs w:val="21"/>
              </w:rPr>
              <w:t xml:space="preserve"> </w:t>
            </w:r>
            <w:r>
              <w:rPr>
                <w:rFonts w:hint="eastAsia"/>
                <w:bCs/>
                <w:szCs w:val="21"/>
              </w:rPr>
              <w:t>当满足以下条件时，采购人才向中标人签发货物验收报告：</w:t>
            </w:r>
          </w:p>
          <w:p>
            <w:pPr>
              <w:spacing w:line="300" w:lineRule="exact"/>
              <w:rPr>
                <w:szCs w:val="21"/>
              </w:rPr>
            </w:pPr>
            <w:r>
              <w:rPr>
                <w:rFonts w:hint="eastAsia"/>
                <w:szCs w:val="21"/>
              </w:rPr>
              <w:t>a、中标人已按照合同规定提供了全部产品及完整的技术资料，其中技术资料</w:t>
            </w:r>
            <w:r>
              <w:rPr>
                <w:rFonts w:hint="eastAsia"/>
                <w:kern w:val="0"/>
                <w:szCs w:val="21"/>
              </w:rPr>
              <w:t>包括但不限于货物配置清单、产品说明书、图纸、操作手册、维护手册（含维修密码及接口数据）、质量保证文件、服务指南等，所有外文资料须提供中文译本。</w:t>
            </w:r>
          </w:p>
          <w:p>
            <w:pPr>
              <w:spacing w:line="300" w:lineRule="exact"/>
              <w:rPr>
                <w:szCs w:val="21"/>
              </w:rPr>
            </w:pPr>
            <w:r>
              <w:rPr>
                <w:rFonts w:hint="eastAsia"/>
                <w:szCs w:val="21"/>
              </w:rPr>
              <w:t>b、货物符合招标文件技术规格书的要求，性能满足要求。</w:t>
            </w:r>
          </w:p>
          <w:p>
            <w:pPr>
              <w:spacing w:line="300" w:lineRule="exact"/>
              <w:rPr>
                <w:szCs w:val="21"/>
              </w:rPr>
            </w:pPr>
            <w:r>
              <w:rPr>
                <w:rFonts w:hint="eastAsia"/>
                <w:szCs w:val="21"/>
              </w:rPr>
              <w:t>c、货物具备产品合格证。</w:t>
            </w:r>
          </w:p>
          <w:p>
            <w:pPr>
              <w:spacing w:line="300" w:lineRule="exact"/>
              <w:rPr>
                <w:spacing w:val="-3"/>
                <w:szCs w:val="21"/>
              </w:rPr>
            </w:pPr>
            <w:r>
              <w:rPr>
                <w:rFonts w:hint="eastAsia"/>
                <w:szCs w:val="21"/>
              </w:rPr>
              <w:t>d、货物</w:t>
            </w:r>
            <w:r>
              <w:rPr>
                <w:rFonts w:hint="eastAsia"/>
                <w:spacing w:val="-3"/>
                <w:szCs w:val="21"/>
              </w:rPr>
              <w:t>如需计量检定的应提供相关计量检定部门出具的合法检定报告。</w:t>
            </w:r>
          </w:p>
          <w:p>
            <w:pPr>
              <w:spacing w:line="300" w:lineRule="exact"/>
              <w:rPr>
                <w:spacing w:val="-3"/>
                <w:szCs w:val="21"/>
              </w:rPr>
            </w:pPr>
            <w:r>
              <w:rPr>
                <w:rFonts w:hint="eastAsia"/>
                <w:spacing w:val="-3"/>
                <w:szCs w:val="21"/>
              </w:rPr>
              <w:t>e、进口货物必须具有</w:t>
            </w:r>
            <w:r>
              <w:rPr>
                <w:rFonts w:hint="eastAsia"/>
                <w:kern w:val="0"/>
                <w:szCs w:val="21"/>
              </w:rPr>
              <w:t>报关证明</w:t>
            </w:r>
            <w:r>
              <w:rPr>
                <w:rFonts w:hint="eastAsia"/>
                <w:spacing w:val="-3"/>
                <w:szCs w:val="21"/>
              </w:rPr>
              <w:t>文件、</w:t>
            </w:r>
            <w:r>
              <w:rPr>
                <w:rFonts w:hint="eastAsia"/>
                <w:kern w:val="0"/>
                <w:szCs w:val="21"/>
              </w:rPr>
              <w:t>原产地证明和</w:t>
            </w:r>
            <w:r>
              <w:rPr>
                <w:rFonts w:hint="eastAsia"/>
                <w:spacing w:val="-3"/>
                <w:szCs w:val="21"/>
              </w:rPr>
              <w:t>商检合格证明文件。</w:t>
            </w:r>
          </w:p>
          <w:p>
            <w:pPr>
              <w:spacing w:line="300" w:lineRule="exact"/>
              <w:rPr>
                <w:szCs w:val="21"/>
              </w:rPr>
            </w:pPr>
            <w:r>
              <w:rPr>
                <w:rFonts w:hint="eastAsia"/>
                <w:spacing w:val="-3"/>
                <w:szCs w:val="21"/>
              </w:rPr>
              <w:t>f、</w:t>
            </w:r>
            <w:r>
              <w:rPr>
                <w:rFonts w:hint="eastAsia"/>
                <w:szCs w:val="21"/>
              </w:rPr>
              <w:t>投标人负责将货物安全无损运抵采购人指定地点，并承担包括但不限于货物的包装、运输、保险、装卸、安装调试、培训、商检及计量检测、关税、增值税和进口代理等费用。</w:t>
            </w:r>
          </w:p>
          <w:p>
            <w:pPr>
              <w:tabs>
                <w:tab w:val="left" w:pos="1260"/>
              </w:tabs>
              <w:spacing w:line="340" w:lineRule="exact"/>
              <w:rPr>
                <w:bCs/>
                <w:szCs w:val="21"/>
              </w:rPr>
            </w:pPr>
            <w:r>
              <w:rPr>
                <w:rFonts w:hint="eastAsia"/>
                <w:szCs w:val="21"/>
              </w:rPr>
              <w:t>g、货物安装调试完毕，能正常运行。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Align w:val="center"/>
          </w:tcPr>
          <w:p>
            <w:pPr>
              <w:jc w:val="center"/>
              <w:rPr>
                <w:b/>
              </w:rPr>
            </w:pPr>
            <w:r>
              <w:rPr>
                <w:b/>
              </w:rPr>
              <w:t>4</w:t>
            </w:r>
          </w:p>
        </w:tc>
        <w:tc>
          <w:tcPr>
            <w:tcW w:w="1620" w:type="dxa"/>
            <w:vAlign w:val="center"/>
          </w:tcPr>
          <w:p>
            <w:pPr>
              <w:jc w:val="center"/>
            </w:pPr>
            <w:r>
              <w:rPr>
                <w:rFonts w:hint="eastAsia"/>
                <w:kern w:val="0"/>
                <w:szCs w:val="21"/>
              </w:rPr>
              <w:t>培训</w:t>
            </w:r>
          </w:p>
        </w:tc>
        <w:tc>
          <w:tcPr>
            <w:tcW w:w="5940" w:type="dxa"/>
            <w:vAlign w:val="center"/>
          </w:tcPr>
          <w:p>
            <w:pPr>
              <w:ind w:firstLine="417" w:firstLineChars="199"/>
              <w:rPr>
                <w:rFonts w:ascii="宋体" w:hAnsi="宋体"/>
                <w:b/>
                <w:color w:val="FF0000"/>
                <w:szCs w:val="21"/>
              </w:rPr>
            </w:pPr>
            <w:r>
              <w:rPr>
                <w:rFonts w:hint="eastAsia"/>
                <w:szCs w:val="21"/>
              </w:rPr>
              <w:t>投标人应派专业技术人员免费对采购单位指定人员进行定期培训及指导，直至其完全掌握货物的功能应用及基本故障处理技术。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260" w:type="dxa"/>
            <w:vMerge w:val="restart"/>
            <w:tcBorders>
              <w:bottom w:val="single" w:color="auto" w:sz="4" w:space="0"/>
            </w:tcBorders>
            <w:vAlign w:val="center"/>
          </w:tcPr>
          <w:p>
            <w:pPr>
              <w:jc w:val="center"/>
              <w:rPr>
                <w:b/>
              </w:rPr>
            </w:pPr>
            <w:r>
              <w:rPr>
                <w:b/>
              </w:rPr>
              <w:t>5</w:t>
            </w:r>
          </w:p>
        </w:tc>
        <w:tc>
          <w:tcPr>
            <w:tcW w:w="1620" w:type="dxa"/>
            <w:vMerge w:val="restart"/>
            <w:tcBorders>
              <w:bottom w:val="single" w:color="auto" w:sz="4" w:space="0"/>
            </w:tcBorders>
            <w:vAlign w:val="center"/>
          </w:tcPr>
          <w:p>
            <w:pPr>
              <w:jc w:val="center"/>
            </w:pPr>
            <w:r>
              <w:rPr>
                <w:rFonts w:hint="eastAsia"/>
              </w:rPr>
              <w:t>关于</w:t>
            </w:r>
            <w:r>
              <w:t>知识产权</w:t>
            </w:r>
          </w:p>
        </w:tc>
        <w:tc>
          <w:tcPr>
            <w:tcW w:w="5940" w:type="dxa"/>
            <w:tcBorders>
              <w:bottom w:val="single" w:color="auto" w:sz="4" w:space="0"/>
            </w:tcBorders>
          </w:tcPr>
          <w:p>
            <w:pPr>
              <w:rPr>
                <w:b/>
              </w:rPr>
            </w:pPr>
            <w:r>
              <w:rPr>
                <w:szCs w:val="21"/>
              </w:rPr>
              <w:t>5</w:t>
            </w:r>
            <w:r>
              <w:rPr>
                <w:rFonts w:hint="eastAsia"/>
                <w:szCs w:val="21"/>
              </w:rPr>
              <w:t>.1提供的货物必须是合法厂家生产和经销的原包装产品（包括零配件），必须具备生产日期、厂家、厂址、产品合格证等。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vAlign w:val="center"/>
          </w:tcPr>
          <w:p>
            <w:r>
              <w:rPr>
                <w:szCs w:val="21"/>
              </w:rPr>
              <w:t>5</w:t>
            </w:r>
            <w:r>
              <w:rPr>
                <w:rFonts w:hint="eastAsia"/>
                <w:szCs w:val="21"/>
              </w:rPr>
              <w:t>.2投标人应保证采购人在使用货物或其任何一部分时，免受第三方提出的侵犯其专利权、商标权、著作权或其它知识产权的起诉或司法干预。投标人保证所提供软件的合法性，</w:t>
            </w:r>
            <w:r>
              <w:rPr>
                <w:rFonts w:hint="eastAsia"/>
              </w:rPr>
              <w:t>如果发生上述起诉或干预，则其法律责任均由中标人负责。</w:t>
            </w:r>
            <w:r>
              <w:rPr>
                <w:rFonts w:hint="eastAsia"/>
                <w:szCs w:val="21"/>
              </w:rPr>
              <w:t>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vAlign w:val="center"/>
          </w:tcPr>
          <w:p>
            <w:r>
              <w:rPr>
                <w:szCs w:val="21"/>
              </w:rPr>
              <w:t>5</w:t>
            </w:r>
            <w:r>
              <w:rPr>
                <w:rFonts w:hint="eastAsia"/>
                <w:szCs w:val="21"/>
              </w:rPr>
              <w:t>.3采购人购买货物后，有权对该货物与其他货物进行配套、整合或适当改进，而免受侵犯专利权的起诉。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Align w:val="center"/>
          </w:tcPr>
          <w:p>
            <w:pPr>
              <w:jc w:val="center"/>
              <w:rPr>
                <w:b/>
              </w:rPr>
            </w:pPr>
            <w:r>
              <w:rPr>
                <w:b/>
              </w:rPr>
              <w:t>6</w:t>
            </w:r>
          </w:p>
        </w:tc>
        <w:tc>
          <w:tcPr>
            <w:tcW w:w="1620" w:type="dxa"/>
            <w:vAlign w:val="center"/>
          </w:tcPr>
          <w:p>
            <w:pPr>
              <w:jc w:val="center"/>
            </w:pPr>
            <w:r>
              <w:rPr>
                <w:rFonts w:hint="eastAsia"/>
              </w:rPr>
              <w:t>关于</w:t>
            </w:r>
            <w:r>
              <w:t>商检</w:t>
            </w:r>
          </w:p>
        </w:tc>
        <w:tc>
          <w:tcPr>
            <w:tcW w:w="5940" w:type="dxa"/>
          </w:tcPr>
          <w:p>
            <w:r>
              <w:rPr>
                <w:rFonts w:hint="eastAsia"/>
              </w:rPr>
              <w:t>依据相关法律法规要求，如</w:t>
            </w:r>
            <w:r>
              <w:t>所提供的货物需</w:t>
            </w:r>
            <w:r>
              <w:rPr>
                <w:rFonts w:hint="eastAsia"/>
              </w:rPr>
              <w:t>由国家商检部门进行商检的，商检、检疫费用由中标人承担。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restart"/>
            <w:vAlign w:val="center"/>
          </w:tcPr>
          <w:p>
            <w:pPr>
              <w:jc w:val="center"/>
              <w:rPr>
                <w:b/>
              </w:rPr>
            </w:pPr>
            <w:r>
              <w:rPr>
                <w:b/>
              </w:rPr>
              <w:t>7</w:t>
            </w:r>
          </w:p>
        </w:tc>
        <w:tc>
          <w:tcPr>
            <w:tcW w:w="1620" w:type="dxa"/>
            <w:vMerge w:val="restart"/>
            <w:vAlign w:val="center"/>
          </w:tcPr>
          <w:p>
            <w:pPr>
              <w:jc w:val="center"/>
            </w:pPr>
            <w:r>
              <w:rPr>
                <w:rFonts w:hint="eastAsia"/>
              </w:rPr>
              <w:t>关于违约</w:t>
            </w:r>
          </w:p>
        </w:tc>
        <w:tc>
          <w:tcPr>
            <w:tcW w:w="5940" w:type="dxa"/>
            <w:vAlign w:val="center"/>
          </w:tcPr>
          <w:p>
            <w:r>
              <w:rPr>
                <w:spacing w:val="-3"/>
                <w:szCs w:val="21"/>
              </w:rPr>
              <w:t>7</w:t>
            </w:r>
            <w:r>
              <w:rPr>
                <w:rFonts w:hint="eastAsia"/>
                <w:spacing w:val="-3"/>
                <w:szCs w:val="21"/>
              </w:rPr>
              <w:t xml:space="preserve">.1中标人不能交货的，需偿付不能交货部分货款的 </w:t>
            </w:r>
            <w:r>
              <w:rPr>
                <w:rFonts w:hint="eastAsia"/>
                <w:b/>
                <w:bCs/>
                <w:color w:val="FF0000"/>
                <w:spacing w:val="-3"/>
                <w:szCs w:val="21"/>
                <w:u w:val="single"/>
              </w:rPr>
              <w:t>1.9 %</w:t>
            </w:r>
            <w:r>
              <w:rPr>
                <w:rFonts w:hint="eastAsia"/>
                <w:spacing w:val="-3"/>
                <w:szCs w:val="21"/>
              </w:rPr>
              <w:t>的违约金并按主管部门相关规定处理。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vAlign w:val="center"/>
          </w:tcPr>
          <w:p>
            <w:r>
              <w:rPr>
                <w:spacing w:val="-3"/>
                <w:szCs w:val="21"/>
              </w:rPr>
              <w:t>7.</w:t>
            </w:r>
            <w:r>
              <w:rPr>
                <w:rFonts w:hint="eastAsia"/>
                <w:spacing w:val="-3"/>
                <w:szCs w:val="21"/>
              </w:rPr>
              <w:t>2中标人逾期交货的，将被没收履约保证金并按主管部门相关规定处理。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vAlign w:val="center"/>
          </w:tcPr>
          <w:p>
            <w:r>
              <w:rPr>
                <w:spacing w:val="-3"/>
                <w:szCs w:val="21"/>
              </w:rPr>
              <w:t>7</w:t>
            </w:r>
            <w:r>
              <w:rPr>
                <w:rFonts w:hint="eastAsia"/>
                <w:spacing w:val="-3"/>
                <w:szCs w:val="21"/>
              </w:rPr>
              <w:t>.3中标人所交付产品、工程或服务不符合其投标承诺的，或在投标阶段为了中标而盲目虚假承诺、低价恶性竞争，在履约阶段则通过偷工减料、以次充好而获取利润的，将被没收履约保证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vAlign w:val="center"/>
          </w:tcPr>
          <w:p>
            <w:r>
              <w:rPr>
                <w:spacing w:val="-3"/>
                <w:szCs w:val="21"/>
              </w:rPr>
              <w:t>7</w:t>
            </w:r>
            <w:r>
              <w:rPr>
                <w:rFonts w:hint="eastAsia"/>
                <w:spacing w:val="-3"/>
                <w:szCs w:val="21"/>
              </w:rPr>
              <w:t>.4</w:t>
            </w:r>
            <w:r>
              <w:rPr>
                <w:rFonts w:hint="eastAsia"/>
                <w:kern w:val="0"/>
                <w:szCs w:val="21"/>
              </w:rPr>
              <w:t xml:space="preserve">投标人逾期未交货物的，投标人向采购人每日偿付货物款 </w:t>
            </w:r>
            <w:r>
              <w:rPr>
                <w:rFonts w:hint="eastAsia"/>
                <w:b/>
                <w:bCs/>
                <w:color w:val="FF0000"/>
                <w:kern w:val="0"/>
                <w:szCs w:val="21"/>
                <w:u w:val="single"/>
              </w:rPr>
              <w:t xml:space="preserve">千分之十 </w:t>
            </w:r>
            <w:r>
              <w:rPr>
                <w:rFonts w:hint="eastAsia"/>
                <w:kern w:val="0"/>
                <w:szCs w:val="21"/>
              </w:rPr>
              <w:t>的违约金。投标人超过交货期限</w:t>
            </w:r>
            <w:r>
              <w:rPr>
                <w:rFonts w:hint="eastAsia"/>
                <w:b/>
                <w:bCs/>
                <w:color w:val="FF0000"/>
                <w:kern w:val="0"/>
                <w:szCs w:val="21"/>
                <w:u w:val="single"/>
              </w:rPr>
              <w:t xml:space="preserve"> 30 日</w:t>
            </w:r>
            <w:r>
              <w:rPr>
                <w:rFonts w:hint="eastAsia"/>
                <w:kern w:val="0"/>
                <w:szCs w:val="21"/>
              </w:rPr>
              <w:t>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260" w:type="dxa"/>
            <w:vAlign w:val="center"/>
          </w:tcPr>
          <w:p>
            <w:pPr>
              <w:jc w:val="center"/>
              <w:rPr>
                <w:spacing w:val="-3"/>
                <w:szCs w:val="21"/>
              </w:rPr>
            </w:pPr>
            <w:r>
              <w:rPr>
                <w:rFonts w:hint="eastAsia"/>
                <w:spacing w:val="-3"/>
                <w:szCs w:val="21"/>
              </w:rPr>
              <w:t>8</w:t>
            </w:r>
          </w:p>
        </w:tc>
        <w:tc>
          <w:tcPr>
            <w:tcW w:w="1620" w:type="dxa"/>
            <w:vAlign w:val="center"/>
          </w:tcPr>
          <w:p>
            <w:pPr>
              <w:jc w:val="center"/>
              <w:rPr>
                <w:spacing w:val="-3"/>
                <w:szCs w:val="21"/>
              </w:rPr>
            </w:pPr>
            <w:r>
              <w:rPr>
                <w:rFonts w:hint="eastAsia"/>
                <w:spacing w:val="-3"/>
                <w:szCs w:val="21"/>
              </w:rPr>
              <w:t>付款方式</w:t>
            </w:r>
          </w:p>
        </w:tc>
        <w:tc>
          <w:tcPr>
            <w:tcW w:w="5940" w:type="dxa"/>
            <w:vAlign w:val="center"/>
          </w:tcPr>
          <w:p>
            <w:pPr>
              <w:ind w:firstLine="204" w:firstLineChars="100"/>
              <w:rPr>
                <w:spacing w:val="-3"/>
                <w:szCs w:val="21"/>
              </w:rPr>
            </w:pPr>
            <w:r>
              <w:rPr>
                <w:rFonts w:hint="eastAsia"/>
                <w:spacing w:val="-3"/>
                <w:szCs w:val="21"/>
              </w:rPr>
              <w:t>合同签订完毕，且货物验收合格后，提交整理报账资料，30天内申请支付全部货款。</w:t>
            </w:r>
          </w:p>
        </w:tc>
      </w:tr>
    </w:tbl>
    <w:p>
      <w:pPr>
        <w:rPr>
          <w:rFonts w:cs="宋体"/>
          <w:color w:val="FF0000"/>
        </w:rPr>
      </w:pPr>
    </w:p>
    <w:p>
      <w:pPr>
        <w:pStyle w:val="7"/>
        <w:spacing w:line="360" w:lineRule="auto"/>
        <w:ind w:firstLine="0"/>
        <w:rPr>
          <w:rFonts w:ascii="宋体" w:hAnsi="宋体"/>
          <w:szCs w:val="21"/>
        </w:rPr>
      </w:pPr>
    </w:p>
    <w:p>
      <w:pPr>
        <w:pStyle w:val="5"/>
        <w:spacing w:before="120" w:beforeLines="50" w:after="120" w:afterLines="50"/>
        <w:rPr>
          <w:sz w:val="28"/>
          <w:szCs w:val="28"/>
        </w:rPr>
      </w:pPr>
      <w:r>
        <w:rPr>
          <w:rFonts w:hint="eastAsia"/>
          <w:sz w:val="28"/>
          <w:szCs w:val="28"/>
        </w:rPr>
        <w:t>五、注意</w:t>
      </w:r>
      <w:r>
        <w:rPr>
          <w:sz w:val="28"/>
          <w:szCs w:val="28"/>
        </w:rPr>
        <w:t>事项</w:t>
      </w:r>
    </w:p>
    <w:p>
      <w:pPr>
        <w:rPr>
          <w:b/>
          <w:sz w:val="24"/>
        </w:rPr>
      </w:pPr>
    </w:p>
    <w:p>
      <w:pPr>
        <w:pStyle w:val="7"/>
        <w:spacing w:line="360" w:lineRule="auto"/>
        <w:ind w:firstLineChars="200"/>
        <w:rPr>
          <w:rFonts w:ascii="宋体" w:hAnsi="宋体"/>
          <w:szCs w:val="21"/>
        </w:rPr>
      </w:pPr>
      <w:r>
        <w:rPr>
          <w:rFonts w:ascii="宋体" w:hAnsi="宋体"/>
          <w:szCs w:val="21"/>
        </w:rPr>
        <w:t>1、</w:t>
      </w:r>
      <w:r>
        <w:rPr>
          <w:rFonts w:hint="eastAsia" w:ascii="宋体" w:hAnsi="宋体"/>
          <w:szCs w:val="21"/>
        </w:rPr>
        <w:t>提供相同品牌产品的不同投标人参加本项目投标的按</w:t>
      </w:r>
      <w:r>
        <w:rPr>
          <w:rFonts w:ascii="宋体" w:hAnsi="宋体"/>
          <w:szCs w:val="21"/>
        </w:rPr>
        <w:t>一家投标人计算</w:t>
      </w:r>
      <w:r>
        <w:rPr>
          <w:rFonts w:hint="eastAsia" w:ascii="宋体" w:hAnsi="宋体"/>
          <w:szCs w:val="21"/>
        </w:rPr>
        <w:t>。非单一产品采购项目，根据采购项目技术构成、产品价格比重等合理确定核心产品，并在招标文件中载明。如</w:t>
      </w:r>
      <w:r>
        <w:rPr>
          <w:rFonts w:ascii="宋体" w:hAnsi="宋体"/>
          <w:szCs w:val="21"/>
        </w:rPr>
        <w:t>不同</w:t>
      </w:r>
      <w:r>
        <w:rPr>
          <w:rFonts w:hint="eastAsia" w:ascii="宋体" w:hAnsi="宋体"/>
          <w:szCs w:val="21"/>
        </w:rPr>
        <w:t>投标人提供的核心产品品牌相同，</w:t>
      </w:r>
      <w:r>
        <w:rPr>
          <w:rFonts w:ascii="宋体" w:hAnsi="宋体"/>
          <w:szCs w:val="21"/>
        </w:rPr>
        <w:t>即认为</w:t>
      </w:r>
      <w:r>
        <w:rPr>
          <w:rFonts w:hint="eastAsia" w:ascii="宋体" w:hAnsi="宋体"/>
          <w:szCs w:val="21"/>
        </w:rPr>
        <w:t>是</w:t>
      </w:r>
      <w:r>
        <w:rPr>
          <w:rFonts w:ascii="宋体" w:hAnsi="宋体"/>
          <w:szCs w:val="21"/>
        </w:rPr>
        <w:t>提供相同</w:t>
      </w:r>
      <w:r>
        <w:rPr>
          <w:rFonts w:hint="eastAsia" w:ascii="宋体" w:hAnsi="宋体"/>
          <w:szCs w:val="21"/>
        </w:rPr>
        <w:t>品牌</w:t>
      </w:r>
      <w:r>
        <w:rPr>
          <w:rFonts w:ascii="宋体" w:hAnsi="宋体"/>
          <w:szCs w:val="21"/>
        </w:rPr>
        <w:t>产品。</w:t>
      </w:r>
    </w:p>
    <w:p>
      <w:pPr>
        <w:pStyle w:val="7"/>
        <w:spacing w:line="360" w:lineRule="auto"/>
        <w:ind w:firstLineChars="200"/>
        <w:rPr>
          <w:rFonts w:ascii="宋体" w:hAnsi="宋体"/>
          <w:szCs w:val="21"/>
        </w:rPr>
      </w:pPr>
      <w:r>
        <w:rPr>
          <w:rFonts w:hint="eastAsia" w:ascii="宋体" w:hAnsi="宋体"/>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7"/>
        <w:spacing w:line="360" w:lineRule="auto"/>
        <w:ind w:firstLineChars="200"/>
        <w:rPr>
          <w:rFonts w:ascii="宋体" w:hAnsi="宋体"/>
          <w:szCs w:val="21"/>
        </w:rPr>
      </w:pPr>
      <w:r>
        <w:rPr>
          <w:rFonts w:hint="eastAsia" w:ascii="宋体" w:hAnsi="宋体"/>
          <w:szCs w:val="21"/>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7"/>
        <w:spacing w:line="360" w:lineRule="auto"/>
        <w:ind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中标人不得将项目非法分包或转包给任何单位和个人。否则，采购单位有权即刻终止合同，并要求中标人赔偿相应损失。</w:t>
      </w:r>
    </w:p>
    <w:p>
      <w:pPr>
        <w:pStyle w:val="7"/>
        <w:spacing w:line="360" w:lineRule="auto"/>
        <w:ind w:firstLineChars="200"/>
        <w:rPr>
          <w:rFonts w:ascii="宋体" w:hAnsi="宋体"/>
          <w:szCs w:val="21"/>
        </w:rPr>
      </w:pPr>
      <w:r>
        <w:rPr>
          <w:rFonts w:ascii="宋体" w:hAnsi="宋体"/>
          <w:szCs w:val="21"/>
        </w:rPr>
        <w:t>3</w:t>
      </w:r>
      <w:r>
        <w:rPr>
          <w:rFonts w:hint="eastAsia" w:ascii="宋体" w:hAnsi="宋体"/>
          <w:szCs w:val="21"/>
        </w:rPr>
        <w:t>、投标人若认为招标文件的技术要求或其他要求有倾向性或不公正性，可在招标答疑阶段提出，以维护招标行为的公平、公正。</w:t>
      </w:r>
    </w:p>
    <w:p>
      <w:pPr>
        <w:pStyle w:val="7"/>
        <w:spacing w:line="360" w:lineRule="auto"/>
        <w:ind w:firstLineChars="200"/>
        <w:rPr>
          <w:rFonts w:ascii="宋体" w:hAnsi="宋体"/>
          <w:szCs w:val="21"/>
        </w:rPr>
      </w:pPr>
      <w:r>
        <w:rPr>
          <w:rFonts w:ascii="宋体" w:hAnsi="宋体"/>
          <w:szCs w:val="21"/>
        </w:rPr>
        <w:t>4</w:t>
      </w:r>
      <w:r>
        <w:rPr>
          <w:rFonts w:hint="eastAsia" w:ascii="宋体" w:hAnsi="宋体"/>
          <w:szCs w:val="21"/>
        </w:rPr>
        <w:t>、投标人使用的标准必须是国际公认或国家、或地方政府颁布的同等或更高的标准，如投标人使用的标准低于上述标准,评标委员会将有权不予接受，投标人必须列表将明显的差异详细说明。</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、投标人所提交的投标文件对技术参数和各项要求的响应必须列出具体内容。如果投标人只注明“符合”或“满足”，将被视为“不符合”，并可能严重影响评标结果。</w:t>
      </w:r>
    </w:p>
    <w:p>
      <w:pPr>
        <w:spacing w:line="360" w:lineRule="auto"/>
        <w:ind w:firstLine="420" w:firstLineChars="200"/>
        <w:rPr>
          <w:rFonts w:ascii="宋体" w:hAnsi="宋体"/>
          <w:szCs w:val="21"/>
        </w:rPr>
      </w:pPr>
      <w:r>
        <w:rPr>
          <w:rFonts w:ascii="宋体" w:hAnsi="宋体"/>
          <w:szCs w:val="21"/>
        </w:rPr>
        <w:t>6</w:t>
      </w:r>
      <w:r>
        <w:rPr>
          <w:rFonts w:hint="eastAsia" w:ascii="宋体" w:hAnsi="宋体"/>
          <w:szCs w:val="21"/>
        </w:rPr>
        <w:t>、“综合实力部分”评分中出现无证明资料或专家无法凭所提供资料判断是否得分的情况，一律作不得分处理。</w:t>
      </w:r>
    </w:p>
    <w:p>
      <w:pPr>
        <w:widowControl/>
        <w:jc w:val="left"/>
        <w:rPr>
          <w:b/>
          <w:sz w:val="24"/>
        </w:rPr>
      </w:pPr>
      <w:r>
        <w:rPr>
          <w:b/>
          <w:sz w:val="24"/>
        </w:rPr>
        <w:br w:type="page"/>
      </w:r>
    </w:p>
    <w:p>
      <w:pPr>
        <w:pStyle w:val="5"/>
        <w:rPr>
          <w:kern w:val="2"/>
          <w:sz w:val="32"/>
          <w:szCs w:val="32"/>
        </w:rPr>
      </w:pPr>
      <w:bookmarkStart w:id="29" w:name="bt附件"/>
      <w:bookmarkEnd w:id="29"/>
      <w:bookmarkStart w:id="30" w:name="bt投标书"/>
      <w:bookmarkEnd w:id="30"/>
      <w:r>
        <w:rPr>
          <w:rFonts w:hint="eastAsia"/>
          <w:kern w:val="2"/>
          <w:sz w:val="32"/>
          <w:szCs w:val="32"/>
        </w:rPr>
        <w:t>第三章  投标文件格式</w:t>
      </w:r>
    </w:p>
    <w:p>
      <w:pPr>
        <w:rPr>
          <w:rStyle w:val="71"/>
          <w:color w:val="FF0000"/>
          <w:sz w:val="24"/>
        </w:rPr>
      </w:pPr>
      <w:r>
        <w:rPr>
          <w:rStyle w:val="71"/>
          <w:rFonts w:hint="eastAsia"/>
          <w:color w:val="FF0000"/>
          <w:sz w:val="24"/>
        </w:rPr>
        <w:t>特别提醒：</w:t>
      </w:r>
    </w:p>
    <w:p>
      <w:pPr>
        <w:ind w:firstLine="480" w:firstLineChars="200"/>
        <w:rPr>
          <w:rFonts w:ascii="仿宋_GB2312" w:eastAsia="仿宋_GB2312"/>
          <w:color w:val="000000"/>
          <w:sz w:val="24"/>
        </w:rPr>
      </w:pPr>
      <w:r>
        <w:rPr>
          <w:rFonts w:hint="eastAsia" w:ascii="仿宋_GB2312" w:eastAsia="仿宋_GB2312"/>
          <w:color w:val="000000"/>
          <w:sz w:val="24"/>
        </w:rPr>
        <w:t>投标文件分为第一部分和第二部分两部分，投标人在编制投标文件时，在投标文件目录中属于本节点内容的必须在本节点中填写，填写到其他节点的将可能导致废标，一切后果由供应商自行承担。</w:t>
      </w:r>
    </w:p>
    <w:p>
      <w:pPr>
        <w:ind w:firstLine="480" w:firstLineChars="200"/>
        <w:rPr>
          <w:rFonts w:ascii="仿宋_GB2312" w:eastAsia="仿宋_GB2312"/>
          <w:color w:val="000000"/>
          <w:sz w:val="24"/>
        </w:rPr>
      </w:pPr>
      <w:r>
        <w:rPr>
          <w:rFonts w:hint="eastAsia" w:ascii="仿宋_GB2312" w:eastAsia="仿宋_GB2312"/>
          <w:color w:val="000000"/>
          <w:sz w:val="24"/>
        </w:rPr>
        <w:t>下文中的</w:t>
      </w:r>
      <w:r>
        <w:rPr>
          <w:rFonts w:ascii="仿宋_GB2312" w:eastAsia="仿宋_GB2312"/>
          <w:color w:val="000000"/>
          <w:sz w:val="24"/>
        </w:rPr>
        <w:t>“</w:t>
      </w:r>
      <w:r>
        <w:rPr>
          <w:rFonts w:hint="eastAsia" w:ascii="仿宋_GB2312" w:eastAsia="仿宋_GB2312"/>
          <w:color w:val="000000"/>
          <w:sz w:val="24"/>
        </w:rPr>
        <w:t>投标人</w:t>
      </w:r>
      <w:r>
        <w:rPr>
          <w:rFonts w:ascii="仿宋_GB2312" w:eastAsia="仿宋_GB2312"/>
          <w:color w:val="000000"/>
          <w:sz w:val="24"/>
        </w:rPr>
        <w:t>”</w:t>
      </w:r>
      <w:r>
        <w:rPr>
          <w:rFonts w:hint="eastAsia" w:ascii="仿宋_GB2312" w:eastAsia="仿宋_GB2312"/>
          <w:color w:val="000000"/>
          <w:sz w:val="24"/>
        </w:rPr>
        <w:t>是</w:t>
      </w:r>
      <w:r>
        <w:rPr>
          <w:rFonts w:ascii="仿宋_GB2312" w:eastAsia="仿宋_GB2312"/>
          <w:color w:val="000000"/>
          <w:sz w:val="24"/>
        </w:rPr>
        <w:t>参与投标的公司</w:t>
      </w:r>
      <w:r>
        <w:rPr>
          <w:rFonts w:hint="eastAsia" w:ascii="仿宋_GB2312" w:eastAsia="仿宋_GB2312"/>
          <w:color w:val="000000"/>
          <w:sz w:val="24"/>
        </w:rPr>
        <w:t>。</w:t>
      </w:r>
    </w:p>
    <w:p>
      <w:pPr>
        <w:ind w:firstLine="480" w:firstLineChars="200"/>
        <w:rPr>
          <w:rFonts w:ascii="仿宋_GB2312" w:eastAsia="仿宋_GB2312"/>
          <w:color w:val="000000"/>
          <w:sz w:val="24"/>
        </w:rPr>
      </w:pPr>
      <w:r>
        <w:rPr>
          <w:rFonts w:hint="eastAsia" w:ascii="仿宋_GB2312" w:eastAsia="仿宋_GB2312"/>
          <w:color w:val="000000"/>
          <w:sz w:val="24"/>
        </w:rPr>
        <w:t>在投标</w:t>
      </w:r>
      <w:r>
        <w:rPr>
          <w:rFonts w:ascii="仿宋_GB2312" w:eastAsia="仿宋_GB2312"/>
          <w:color w:val="000000"/>
          <w:sz w:val="24"/>
        </w:rPr>
        <w:t>文件格式中提示（</w:t>
      </w:r>
      <w:r>
        <w:rPr>
          <w:rFonts w:hint="eastAsia" w:ascii="仿宋_GB2312" w:eastAsia="仿宋_GB2312"/>
          <w:color w:val="000000"/>
          <w:sz w:val="24"/>
        </w:rPr>
        <w:t>盖章</w:t>
      </w:r>
      <w:r>
        <w:rPr>
          <w:rFonts w:ascii="仿宋_GB2312" w:eastAsia="仿宋_GB2312"/>
          <w:color w:val="000000"/>
          <w:sz w:val="24"/>
        </w:rPr>
        <w:t>）</w:t>
      </w:r>
      <w:r>
        <w:rPr>
          <w:rFonts w:hint="eastAsia" w:ascii="仿宋_GB2312" w:eastAsia="仿宋_GB2312"/>
          <w:color w:val="000000"/>
          <w:sz w:val="24"/>
        </w:rPr>
        <w:t>或</w:t>
      </w:r>
      <w:r>
        <w:rPr>
          <w:rFonts w:ascii="仿宋_GB2312" w:eastAsia="仿宋_GB2312"/>
          <w:color w:val="000000"/>
          <w:sz w:val="24"/>
        </w:rPr>
        <w:t>（</w:t>
      </w:r>
      <w:r>
        <w:rPr>
          <w:rFonts w:hint="eastAsia" w:ascii="仿宋_GB2312" w:eastAsia="仿宋_GB2312"/>
          <w:color w:val="000000"/>
          <w:sz w:val="24"/>
        </w:rPr>
        <w:t>公章</w:t>
      </w:r>
      <w:r>
        <w:rPr>
          <w:rFonts w:ascii="仿宋_GB2312" w:eastAsia="仿宋_GB2312"/>
          <w:color w:val="000000"/>
          <w:sz w:val="24"/>
        </w:rPr>
        <w:t>）</w:t>
      </w:r>
      <w:r>
        <w:rPr>
          <w:rFonts w:hint="eastAsia" w:ascii="仿宋_GB2312" w:eastAsia="仿宋_GB2312"/>
          <w:color w:val="000000"/>
          <w:sz w:val="24"/>
        </w:rPr>
        <w:t>的</w:t>
      </w:r>
      <w:r>
        <w:rPr>
          <w:rFonts w:ascii="仿宋_GB2312" w:eastAsia="仿宋_GB2312"/>
          <w:color w:val="000000"/>
          <w:sz w:val="24"/>
        </w:rPr>
        <w:t>位置必须盖投标人公章，提示（</w:t>
      </w:r>
      <w:r>
        <w:rPr>
          <w:rFonts w:hint="eastAsia" w:ascii="仿宋_GB2312" w:eastAsia="仿宋_GB2312"/>
          <w:color w:val="000000"/>
          <w:sz w:val="24"/>
        </w:rPr>
        <w:t>签字</w:t>
      </w:r>
      <w:r>
        <w:rPr>
          <w:rFonts w:ascii="仿宋_GB2312" w:eastAsia="仿宋_GB2312"/>
          <w:color w:val="000000"/>
          <w:sz w:val="24"/>
        </w:rPr>
        <w:t>或签章）</w:t>
      </w:r>
      <w:r>
        <w:rPr>
          <w:rFonts w:hint="eastAsia" w:ascii="仿宋_GB2312" w:eastAsia="仿宋_GB2312"/>
          <w:color w:val="000000"/>
          <w:sz w:val="24"/>
        </w:rPr>
        <w:t>的</w:t>
      </w:r>
      <w:r>
        <w:rPr>
          <w:rFonts w:ascii="仿宋_GB2312" w:eastAsia="仿宋_GB2312"/>
          <w:color w:val="000000"/>
          <w:sz w:val="24"/>
        </w:rPr>
        <w:t>地方必须由相关人员亲笔签名或加盖其名章，否则将导致废标，</w:t>
      </w:r>
      <w:r>
        <w:rPr>
          <w:rFonts w:hint="eastAsia" w:ascii="仿宋_GB2312" w:eastAsia="仿宋_GB2312"/>
          <w:color w:val="000000"/>
          <w:sz w:val="24"/>
        </w:rPr>
        <w:t>一切后果由供应商自行承担。</w:t>
      </w:r>
    </w:p>
    <w:p>
      <w:pPr>
        <w:rPr>
          <w:sz w:val="32"/>
          <w:szCs w:val="32"/>
        </w:rPr>
      </w:pPr>
    </w:p>
    <w:p>
      <w:pPr>
        <w:ind w:firstLine="480" w:firstLineChars="200"/>
        <w:rPr>
          <w:rFonts w:ascii="宋体" w:hAnsi="宋体"/>
          <w:sz w:val="24"/>
        </w:rPr>
      </w:pPr>
      <w:r>
        <w:rPr>
          <w:rFonts w:hint="eastAsia" w:ascii="宋体" w:hAnsi="宋体"/>
          <w:sz w:val="24"/>
        </w:rPr>
        <w:t>投标文件组成：</w:t>
      </w:r>
    </w:p>
    <w:p>
      <w:pPr>
        <w:pStyle w:val="7"/>
        <w:ind w:firstLine="1575" w:firstLineChars="750"/>
        <w:rPr>
          <w:rFonts w:ascii="宋体" w:hAnsi="宋体"/>
          <w:color w:val="000000"/>
          <w:szCs w:val="21"/>
        </w:rPr>
      </w:pPr>
      <w:r>
        <w:rPr>
          <w:rFonts w:hint="eastAsia" w:ascii="宋体" w:hAnsi="宋体"/>
          <w:color w:val="000000"/>
          <w:szCs w:val="21"/>
        </w:rPr>
        <w:t>1、投标文件封面</w:t>
      </w:r>
    </w:p>
    <w:p>
      <w:pPr>
        <w:pStyle w:val="7"/>
        <w:ind w:firstLine="1575" w:firstLineChars="750"/>
        <w:rPr>
          <w:rFonts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目录</w:t>
      </w:r>
    </w:p>
    <w:p>
      <w:pPr>
        <w:ind w:firstLine="1575" w:firstLineChars="750"/>
        <w:rPr>
          <w:sz w:val="32"/>
          <w:szCs w:val="32"/>
        </w:rPr>
      </w:pPr>
      <w:r>
        <w:rPr>
          <w:rFonts w:ascii="宋体" w:hAnsi="宋体"/>
          <w:color w:val="000000"/>
          <w:szCs w:val="21"/>
        </w:rPr>
        <w:t>3</w:t>
      </w:r>
      <w:r>
        <w:rPr>
          <w:rFonts w:hint="eastAsia" w:ascii="宋体" w:hAnsi="宋体"/>
          <w:color w:val="000000"/>
          <w:szCs w:val="21"/>
        </w:rPr>
        <w:t>、投标文件第一部分</w:t>
      </w:r>
    </w:p>
    <w:p>
      <w:pPr>
        <w:ind w:left="718" w:leftChars="342" w:firstLine="1417" w:firstLineChars="675"/>
        <w:rPr>
          <w:szCs w:val="21"/>
        </w:rPr>
      </w:pPr>
      <w:r>
        <w:rPr>
          <w:rFonts w:hint="eastAsia"/>
          <w:szCs w:val="21"/>
        </w:rPr>
        <w:t>（1）投标函</w:t>
      </w:r>
    </w:p>
    <w:p>
      <w:pPr>
        <w:ind w:left="718" w:leftChars="342" w:firstLine="1417" w:firstLineChars="675"/>
        <w:rPr>
          <w:szCs w:val="21"/>
        </w:rPr>
      </w:pPr>
      <w:r>
        <w:rPr>
          <w:rFonts w:hint="eastAsia"/>
          <w:szCs w:val="21"/>
        </w:rPr>
        <w:t>（2）投标</w:t>
      </w:r>
      <w:r>
        <w:rPr>
          <w:szCs w:val="21"/>
        </w:rPr>
        <w:t>及履约承诺</w:t>
      </w:r>
      <w:r>
        <w:rPr>
          <w:rFonts w:hint="eastAsia"/>
          <w:szCs w:val="21"/>
        </w:rPr>
        <w:t>函</w:t>
      </w:r>
    </w:p>
    <w:p>
      <w:pPr>
        <w:ind w:left="718" w:leftChars="342" w:firstLine="1417" w:firstLineChars="675"/>
        <w:rPr>
          <w:szCs w:val="21"/>
        </w:rPr>
      </w:pPr>
      <w:r>
        <w:rPr>
          <w:szCs w:val="21"/>
        </w:rPr>
        <w:t>（3）</w:t>
      </w:r>
      <w:r>
        <w:rPr>
          <w:rFonts w:hint="eastAsia"/>
          <w:szCs w:val="21"/>
        </w:rPr>
        <w:t>投标</w:t>
      </w:r>
      <w:r>
        <w:rPr>
          <w:szCs w:val="21"/>
        </w:rPr>
        <w:t>一览表</w:t>
      </w:r>
    </w:p>
    <w:p>
      <w:pPr>
        <w:ind w:left="718" w:leftChars="342" w:firstLine="1417" w:firstLineChars="675"/>
        <w:rPr>
          <w:szCs w:val="21"/>
        </w:rPr>
      </w:pPr>
      <w:r>
        <w:rPr>
          <w:rFonts w:hint="eastAsia"/>
          <w:szCs w:val="21"/>
        </w:rPr>
        <w:t>（4）分项报价清单表</w:t>
      </w:r>
    </w:p>
    <w:p>
      <w:pPr>
        <w:ind w:left="2692" w:leftChars="1017" w:hanging="556" w:hangingChars="265"/>
        <w:rPr>
          <w:szCs w:val="21"/>
        </w:rPr>
      </w:pPr>
      <w:r>
        <w:rPr>
          <w:rFonts w:hint="eastAsia"/>
          <w:szCs w:val="21"/>
        </w:rPr>
        <w:t>（5）投标人资格</w:t>
      </w:r>
      <w:r>
        <w:rPr>
          <w:szCs w:val="21"/>
        </w:rPr>
        <w:t>证明</w:t>
      </w:r>
      <w:r>
        <w:rPr>
          <w:rFonts w:hint="eastAsia"/>
          <w:szCs w:val="21"/>
        </w:rPr>
        <w:t>文件</w:t>
      </w:r>
    </w:p>
    <w:p>
      <w:pPr>
        <w:ind w:left="718" w:leftChars="342" w:firstLine="1417" w:firstLineChars="675"/>
        <w:rPr>
          <w:szCs w:val="21"/>
        </w:rPr>
      </w:pPr>
      <w:r>
        <w:rPr>
          <w:rFonts w:hint="eastAsia"/>
          <w:szCs w:val="21"/>
        </w:rPr>
        <w:t>（6）技术保障措施</w:t>
      </w:r>
    </w:p>
    <w:p>
      <w:pPr>
        <w:ind w:left="718" w:leftChars="342" w:firstLine="1417" w:firstLineChars="675"/>
        <w:rPr>
          <w:szCs w:val="21"/>
        </w:rPr>
      </w:pPr>
      <w:r>
        <w:rPr>
          <w:rFonts w:hint="eastAsia"/>
          <w:szCs w:val="21"/>
        </w:rPr>
        <w:t>（7）投标人</w:t>
      </w:r>
      <w:r>
        <w:rPr>
          <w:szCs w:val="21"/>
        </w:rPr>
        <w:t>认为需要提供的其他证明材料</w:t>
      </w:r>
    </w:p>
    <w:p>
      <w:pPr>
        <w:ind w:left="718" w:leftChars="342" w:firstLine="1417" w:firstLineChars="675"/>
        <w:rPr>
          <w:szCs w:val="21"/>
        </w:rPr>
      </w:pPr>
      <w:r>
        <w:rPr>
          <w:rFonts w:hint="eastAsia"/>
          <w:szCs w:val="21"/>
        </w:rPr>
        <w:t>（8）技术规格</w:t>
      </w:r>
      <w:r>
        <w:rPr>
          <w:szCs w:val="21"/>
        </w:rPr>
        <w:t>证明文件</w:t>
      </w:r>
    </w:p>
    <w:p>
      <w:pPr>
        <w:ind w:left="718" w:leftChars="342" w:firstLine="1417" w:firstLineChars="675"/>
        <w:rPr>
          <w:szCs w:val="21"/>
        </w:rPr>
      </w:pPr>
      <w:r>
        <w:rPr>
          <w:rFonts w:hint="eastAsia"/>
          <w:szCs w:val="21"/>
        </w:rPr>
        <w:t>（9）技术规格偏离表</w:t>
      </w:r>
    </w:p>
    <w:p>
      <w:pPr>
        <w:ind w:left="718" w:leftChars="342" w:firstLine="1417" w:firstLineChars="675"/>
        <w:rPr>
          <w:szCs w:val="21"/>
        </w:rPr>
      </w:pPr>
      <w:r>
        <w:rPr>
          <w:rFonts w:hint="eastAsia"/>
          <w:szCs w:val="21"/>
        </w:rPr>
        <w:t>（10）商务需求偏离表</w:t>
      </w:r>
    </w:p>
    <w:p>
      <w:pPr>
        <w:ind w:left="718" w:leftChars="342" w:firstLine="1417" w:firstLineChars="675"/>
        <w:rPr>
          <w:szCs w:val="21"/>
        </w:rPr>
      </w:pPr>
      <w:r>
        <w:rPr>
          <w:rFonts w:hint="eastAsia"/>
          <w:szCs w:val="21"/>
        </w:rPr>
        <w:t>（11）投标人认为需要加以说明的其他内容</w:t>
      </w:r>
    </w:p>
    <w:p>
      <w:pPr>
        <w:ind w:left="718" w:leftChars="342" w:firstLine="1417" w:firstLineChars="675"/>
        <w:rPr>
          <w:szCs w:val="21"/>
        </w:rPr>
      </w:pPr>
    </w:p>
    <w:p>
      <w:pPr>
        <w:ind w:firstLine="1200" w:firstLineChars="500"/>
        <w:rPr>
          <w:rFonts w:ascii="宋体" w:hAnsi="宋体"/>
          <w:sz w:val="24"/>
        </w:rPr>
      </w:pPr>
      <w:r>
        <w:rPr>
          <w:rFonts w:hint="eastAsia" w:ascii="宋体" w:hAnsi="宋体"/>
          <w:sz w:val="24"/>
        </w:rPr>
        <w:t>2.投标文件第二</w:t>
      </w:r>
      <w:r>
        <w:rPr>
          <w:rFonts w:ascii="宋体" w:hAnsi="宋体"/>
          <w:sz w:val="24"/>
        </w:rPr>
        <w:t>部分</w:t>
      </w:r>
      <w:r>
        <w:rPr>
          <w:rFonts w:hint="eastAsia" w:ascii="宋体" w:hAnsi="宋体"/>
          <w:sz w:val="24"/>
        </w:rPr>
        <w:t>：主要包括以下内容：</w:t>
      </w:r>
    </w:p>
    <w:p>
      <w:pPr>
        <w:ind w:firstLine="2100" w:firstLineChars="1000"/>
        <w:rPr>
          <w:szCs w:val="21"/>
        </w:rPr>
      </w:pPr>
      <w:r>
        <w:rPr>
          <w:rFonts w:hint="eastAsia"/>
          <w:szCs w:val="21"/>
        </w:rPr>
        <w:t>（1）法定代表人证明书</w:t>
      </w:r>
    </w:p>
    <w:p>
      <w:pPr>
        <w:ind w:left="718" w:leftChars="342" w:firstLine="1417" w:firstLineChars="675"/>
        <w:rPr>
          <w:szCs w:val="21"/>
        </w:rPr>
      </w:pPr>
      <w:r>
        <w:rPr>
          <w:rFonts w:hint="eastAsia"/>
          <w:szCs w:val="21"/>
        </w:rPr>
        <w:t>（2）投标文件签署授权委托书</w:t>
      </w:r>
    </w:p>
    <w:p>
      <w:pPr>
        <w:ind w:left="718" w:leftChars="342" w:firstLine="1417" w:firstLineChars="675"/>
        <w:rPr>
          <w:szCs w:val="21"/>
        </w:rPr>
      </w:pPr>
      <w:r>
        <w:rPr>
          <w:rFonts w:hint="eastAsia"/>
          <w:szCs w:val="21"/>
        </w:rPr>
        <w:t>（3）项目实施方案</w:t>
      </w:r>
    </w:p>
    <w:p>
      <w:pPr>
        <w:ind w:left="718" w:leftChars="342" w:firstLine="1417" w:firstLineChars="675"/>
        <w:rPr>
          <w:szCs w:val="21"/>
        </w:rPr>
      </w:pPr>
      <w:r>
        <w:rPr>
          <w:rFonts w:hint="eastAsia"/>
          <w:szCs w:val="21"/>
        </w:rPr>
        <w:t>（4）售后服务方案</w:t>
      </w:r>
    </w:p>
    <w:p>
      <w:pPr>
        <w:widowControl/>
        <w:jc w:val="left"/>
        <w:rPr>
          <w:szCs w:val="21"/>
        </w:rPr>
      </w:pPr>
      <w:r>
        <w:rPr>
          <w:szCs w:val="21"/>
        </w:rPr>
        <w:br w:type="page"/>
      </w:r>
    </w:p>
    <w:p>
      <w:pPr>
        <w:pStyle w:val="3"/>
        <w:rPr>
          <w:color w:val="FF0000"/>
        </w:rPr>
      </w:pPr>
      <w:r>
        <w:rPr>
          <w:rFonts w:hint="eastAsia"/>
          <w:color w:val="FF0000"/>
        </w:rPr>
        <w:t>封面</w:t>
      </w:r>
    </w:p>
    <w:p>
      <w:pPr>
        <w:rPr>
          <w:rFonts w:asciiTheme="minorEastAsia" w:hAnsiTheme="minorEastAsia" w:eastAsiaTheme="minorEastAsia"/>
          <w:b/>
          <w:color w:val="FF0000"/>
          <w:sz w:val="30"/>
          <w:szCs w:val="30"/>
        </w:rPr>
      </w:pPr>
    </w:p>
    <w:p>
      <w:pPr>
        <w:jc w:val="right"/>
        <w:rPr>
          <w:rFonts w:asciiTheme="minorEastAsia" w:hAnsiTheme="minorEastAsia" w:eastAsiaTheme="minorEastAsia"/>
          <w:b/>
          <w:sz w:val="36"/>
          <w:szCs w:val="36"/>
        </w:rPr>
      </w:pPr>
      <w:r>
        <w:rPr>
          <w:rFonts w:hint="eastAsia" w:asciiTheme="minorEastAsia" w:hAnsiTheme="minorEastAsia" w:eastAsiaTheme="minorEastAsia"/>
          <w:b/>
          <w:sz w:val="36"/>
          <w:szCs w:val="36"/>
          <w:highlight w:val="yellow"/>
        </w:rPr>
        <w:t>正本</w:t>
      </w:r>
      <w:r>
        <w:rPr>
          <w:rFonts w:asciiTheme="minorEastAsia" w:hAnsiTheme="minorEastAsia" w:eastAsiaTheme="minorEastAsia"/>
          <w:b/>
          <w:sz w:val="36"/>
          <w:szCs w:val="36"/>
          <w:highlight w:val="yellow"/>
        </w:rPr>
        <w:t>/副本</w:t>
      </w:r>
    </w:p>
    <w:p>
      <w:pPr>
        <w:jc w:val="center"/>
        <w:rPr>
          <w:rFonts w:asciiTheme="minorEastAsia" w:hAnsiTheme="minorEastAsia" w:eastAsiaTheme="minorEastAsia"/>
          <w:b/>
          <w:sz w:val="52"/>
          <w:szCs w:val="52"/>
        </w:rPr>
      </w:pPr>
    </w:p>
    <w:p>
      <w:pPr>
        <w:jc w:val="center"/>
        <w:rPr>
          <w:rFonts w:asciiTheme="minorEastAsia" w:hAnsiTheme="minorEastAsia" w:eastAsiaTheme="minorEastAsia"/>
          <w:b/>
          <w:sz w:val="52"/>
          <w:szCs w:val="52"/>
        </w:rPr>
      </w:pPr>
    </w:p>
    <w:p>
      <w:pPr>
        <w:jc w:val="center"/>
        <w:rPr>
          <w:rFonts w:asciiTheme="minorEastAsia" w:hAnsiTheme="minorEastAsia" w:eastAsiaTheme="minorEastAsia"/>
          <w:b/>
          <w:sz w:val="84"/>
          <w:szCs w:val="84"/>
        </w:rPr>
      </w:pPr>
      <w:r>
        <w:rPr>
          <w:rFonts w:hint="eastAsia" w:asciiTheme="minorEastAsia" w:hAnsiTheme="minorEastAsia" w:eastAsiaTheme="minorEastAsia"/>
          <w:b/>
          <w:sz w:val="84"/>
          <w:szCs w:val="84"/>
        </w:rPr>
        <w:t>投 标 文 件</w:t>
      </w: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项目编号：</w:t>
      </w: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项目</w:t>
      </w:r>
      <w:r>
        <w:rPr>
          <w:rFonts w:asciiTheme="minorEastAsia" w:hAnsiTheme="minorEastAsia" w:eastAsiaTheme="minorEastAsia"/>
          <w:b/>
          <w:sz w:val="32"/>
          <w:szCs w:val="32"/>
        </w:rPr>
        <w:t>名称：</w:t>
      </w: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rPr>
          <w:rFonts w:asciiTheme="minorEastAsia" w:hAnsiTheme="minorEastAsia" w:eastAsiaTheme="minorEastAsia"/>
          <w:b/>
          <w:sz w:val="32"/>
          <w:szCs w:val="32"/>
        </w:rPr>
      </w:pPr>
      <w:r>
        <w:rPr>
          <w:rFonts w:hint="eastAsia" w:asciiTheme="minorEastAsia" w:hAnsiTheme="minorEastAsia" w:eastAsiaTheme="minorEastAsia"/>
          <w:b/>
          <w:sz w:val="32"/>
          <w:szCs w:val="32"/>
        </w:rPr>
        <w:t>投标人</w:t>
      </w:r>
      <w:r>
        <w:rPr>
          <w:rFonts w:asciiTheme="minorEastAsia" w:hAnsiTheme="minorEastAsia" w:eastAsiaTheme="minorEastAsia"/>
          <w:b/>
          <w:sz w:val="32"/>
          <w:szCs w:val="32"/>
        </w:rPr>
        <w:t>（供应商</w:t>
      </w:r>
      <w:r>
        <w:rPr>
          <w:rFonts w:hint="eastAsia" w:asciiTheme="minorEastAsia" w:hAnsiTheme="minorEastAsia" w:eastAsiaTheme="minorEastAsia"/>
          <w:b/>
          <w:sz w:val="32"/>
          <w:szCs w:val="32"/>
        </w:rPr>
        <w:t>）</w:t>
      </w:r>
      <w:r>
        <w:rPr>
          <w:rFonts w:asciiTheme="minorEastAsia" w:hAnsiTheme="minorEastAsia" w:eastAsiaTheme="minorEastAsia"/>
          <w:b/>
          <w:sz w:val="32"/>
          <w:szCs w:val="32"/>
        </w:rPr>
        <w:t>：</w:t>
      </w:r>
    </w:p>
    <w:p>
      <w:pPr>
        <w:rPr>
          <w:rFonts w:asciiTheme="minorEastAsia" w:hAnsiTheme="minorEastAsia" w:eastAsiaTheme="minorEastAsia"/>
          <w:b/>
          <w:color w:val="FF0000"/>
          <w:sz w:val="30"/>
          <w:szCs w:val="30"/>
        </w:rPr>
      </w:pPr>
    </w:p>
    <w:p>
      <w:pPr>
        <w:rPr>
          <w:rFonts w:asciiTheme="minorEastAsia" w:hAnsiTheme="minorEastAsia" w:eastAsiaTheme="minorEastAsia"/>
          <w:b/>
          <w:color w:val="FF0000"/>
          <w:sz w:val="30"/>
          <w:szCs w:val="30"/>
        </w:rPr>
      </w:pPr>
    </w:p>
    <w:p>
      <w:pPr>
        <w:widowControl/>
        <w:jc w:val="left"/>
        <w:rPr>
          <w:rFonts w:asciiTheme="minorEastAsia" w:hAnsiTheme="minorEastAsia" w:eastAsiaTheme="minorEastAsia"/>
          <w:b/>
          <w:color w:val="FF0000"/>
          <w:sz w:val="30"/>
          <w:szCs w:val="30"/>
        </w:rPr>
      </w:pPr>
      <w:r>
        <w:rPr>
          <w:rFonts w:asciiTheme="minorEastAsia" w:hAnsiTheme="minorEastAsia" w:eastAsiaTheme="minorEastAsia"/>
          <w:b/>
          <w:color w:val="FF0000"/>
          <w:sz w:val="30"/>
          <w:szCs w:val="30"/>
        </w:rPr>
        <w:br w:type="page"/>
      </w:r>
    </w:p>
    <w:p>
      <w:pPr>
        <w:pStyle w:val="3"/>
        <w:jc w:val="center"/>
        <w:rPr>
          <w:sz w:val="36"/>
          <w:szCs w:val="36"/>
        </w:rPr>
      </w:pPr>
      <w:r>
        <w:rPr>
          <w:rFonts w:hint="eastAsia"/>
          <w:sz w:val="36"/>
          <w:szCs w:val="36"/>
        </w:rPr>
        <w:t>目录</w:t>
      </w:r>
    </w:p>
    <w:p>
      <w:pPr>
        <w:rPr>
          <w:rFonts w:ascii="仿宋_GB2312" w:eastAsia="仿宋_GB2312"/>
          <w:sz w:val="30"/>
          <w:szCs w:val="30"/>
        </w:rPr>
      </w:pPr>
      <w:r>
        <w:rPr>
          <w:rFonts w:hint="eastAsia" w:ascii="仿宋_GB2312" w:eastAsia="仿宋_GB2312"/>
          <w:sz w:val="30"/>
          <w:szCs w:val="30"/>
        </w:rPr>
        <w:t>投标文件第一部分</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一、投标函                                             页码</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二</w:t>
      </w:r>
      <w:r>
        <w:rPr>
          <w:rFonts w:asciiTheme="minorEastAsia" w:hAnsiTheme="minorEastAsia" w:eastAsiaTheme="minorEastAsia"/>
          <w:sz w:val="28"/>
          <w:szCs w:val="28"/>
        </w:rPr>
        <w:t>、</w:t>
      </w:r>
      <w:r>
        <w:rPr>
          <w:rFonts w:hint="eastAsia" w:asciiTheme="minorEastAsia" w:hAnsiTheme="minorEastAsia" w:eastAsiaTheme="minorEastAsia"/>
          <w:sz w:val="28"/>
          <w:szCs w:val="28"/>
        </w:rPr>
        <w:t>投标及履约承诺函                                   页码</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三</w:t>
      </w:r>
      <w:r>
        <w:rPr>
          <w:rFonts w:asciiTheme="minorEastAsia" w:hAnsiTheme="minorEastAsia" w:eastAsiaTheme="minorEastAsia"/>
          <w:sz w:val="28"/>
          <w:szCs w:val="28"/>
        </w:rPr>
        <w:t>、</w:t>
      </w:r>
      <w:r>
        <w:rPr>
          <w:rFonts w:hint="eastAsia" w:asciiTheme="minorEastAsia" w:hAnsiTheme="minorEastAsia" w:eastAsiaTheme="minorEastAsia"/>
          <w:sz w:val="28"/>
          <w:szCs w:val="28"/>
        </w:rPr>
        <w:t>投标一览表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四</w:t>
      </w:r>
      <w:r>
        <w:rPr>
          <w:rFonts w:asciiTheme="minorEastAsia" w:hAnsiTheme="minorEastAsia" w:eastAsiaTheme="minorEastAsia"/>
          <w:sz w:val="28"/>
          <w:szCs w:val="28"/>
        </w:rPr>
        <w:t>、</w:t>
      </w:r>
      <w:r>
        <w:rPr>
          <w:rFonts w:hint="eastAsia" w:asciiTheme="minorEastAsia" w:hAnsiTheme="minorEastAsia" w:eastAsiaTheme="minorEastAsia"/>
          <w:sz w:val="28"/>
          <w:szCs w:val="28"/>
        </w:rPr>
        <w:t>分项报价清单表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五</w:t>
      </w:r>
      <w:r>
        <w:rPr>
          <w:rFonts w:asciiTheme="minorEastAsia" w:hAnsiTheme="minorEastAsia" w:eastAsiaTheme="minorEastAsia"/>
          <w:sz w:val="28"/>
          <w:szCs w:val="28"/>
        </w:rPr>
        <w:t>、</w:t>
      </w:r>
      <w:r>
        <w:rPr>
          <w:rFonts w:hint="eastAsia" w:asciiTheme="minorEastAsia" w:hAnsiTheme="minorEastAsia" w:eastAsiaTheme="minorEastAsia"/>
          <w:sz w:val="28"/>
          <w:szCs w:val="28"/>
        </w:rPr>
        <w:t>投标人资格证明文件</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六</w:t>
      </w:r>
      <w:r>
        <w:rPr>
          <w:rFonts w:asciiTheme="minorEastAsia" w:hAnsiTheme="minorEastAsia" w:eastAsiaTheme="minorEastAsia"/>
          <w:sz w:val="28"/>
          <w:szCs w:val="28"/>
        </w:rPr>
        <w:t>、</w:t>
      </w:r>
      <w:r>
        <w:rPr>
          <w:rFonts w:hint="eastAsia" w:asciiTheme="minorEastAsia" w:hAnsiTheme="minorEastAsia" w:eastAsiaTheme="minorEastAsia"/>
          <w:sz w:val="28"/>
          <w:szCs w:val="28"/>
        </w:rPr>
        <w:t>技术保障措施</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七</w:t>
      </w:r>
      <w:r>
        <w:rPr>
          <w:rFonts w:asciiTheme="minorEastAsia" w:hAnsiTheme="minorEastAsia" w:eastAsiaTheme="minorEastAsia"/>
          <w:sz w:val="28"/>
          <w:szCs w:val="28"/>
        </w:rPr>
        <w:t>、</w:t>
      </w:r>
      <w:r>
        <w:rPr>
          <w:rFonts w:hint="eastAsia" w:asciiTheme="minorEastAsia" w:hAnsiTheme="minorEastAsia" w:eastAsiaTheme="minorEastAsia"/>
          <w:sz w:val="28"/>
          <w:szCs w:val="28"/>
        </w:rPr>
        <w:t>投标人认为需要提供的其他证明材料</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八</w:t>
      </w:r>
      <w:r>
        <w:rPr>
          <w:rFonts w:asciiTheme="minorEastAsia" w:hAnsiTheme="minorEastAsia" w:eastAsiaTheme="minorEastAsia"/>
          <w:sz w:val="28"/>
          <w:szCs w:val="28"/>
        </w:rPr>
        <w:t>、</w:t>
      </w:r>
      <w:r>
        <w:rPr>
          <w:rFonts w:hint="eastAsia" w:asciiTheme="minorEastAsia" w:hAnsiTheme="minorEastAsia" w:eastAsiaTheme="minorEastAsia"/>
          <w:sz w:val="28"/>
          <w:szCs w:val="28"/>
        </w:rPr>
        <w:t>技术规格证明文件</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九</w:t>
      </w:r>
      <w:r>
        <w:rPr>
          <w:rFonts w:asciiTheme="minorEastAsia" w:hAnsiTheme="minorEastAsia" w:eastAsiaTheme="minorEastAsia"/>
          <w:sz w:val="28"/>
          <w:szCs w:val="28"/>
        </w:rPr>
        <w:t>、</w:t>
      </w:r>
      <w:r>
        <w:rPr>
          <w:rFonts w:hint="eastAsia" w:asciiTheme="minorEastAsia" w:hAnsiTheme="minorEastAsia" w:eastAsiaTheme="minorEastAsia"/>
          <w:sz w:val="28"/>
          <w:szCs w:val="28"/>
        </w:rPr>
        <w:t>技术规格偏离表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十</w:t>
      </w:r>
      <w:r>
        <w:rPr>
          <w:rFonts w:asciiTheme="minorEastAsia" w:hAnsiTheme="minorEastAsia" w:eastAsiaTheme="minorEastAsia"/>
          <w:sz w:val="28"/>
          <w:szCs w:val="28"/>
        </w:rPr>
        <w:t>、</w:t>
      </w:r>
      <w:r>
        <w:rPr>
          <w:rFonts w:hint="eastAsia" w:asciiTheme="minorEastAsia" w:hAnsiTheme="minorEastAsia" w:eastAsiaTheme="minorEastAsia"/>
          <w:sz w:val="28"/>
          <w:szCs w:val="28"/>
        </w:rPr>
        <w:t>商务需求偏离表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十一</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投标人认为需要加以说明的其他内容                          </w:t>
      </w:r>
    </w:p>
    <w:p>
      <w:pPr>
        <w:rPr>
          <w:rFonts w:ascii="仿宋_GB2312" w:eastAsia="仿宋_GB2312"/>
          <w:sz w:val="30"/>
          <w:szCs w:val="30"/>
        </w:rPr>
      </w:pPr>
    </w:p>
    <w:p>
      <w:pPr>
        <w:rPr>
          <w:rFonts w:ascii="仿宋_GB2312" w:eastAsia="仿宋_GB2312"/>
          <w:sz w:val="30"/>
          <w:szCs w:val="30"/>
        </w:rPr>
      </w:pPr>
      <w:r>
        <w:rPr>
          <w:rFonts w:hint="eastAsia" w:ascii="仿宋_GB2312" w:eastAsia="仿宋_GB2312"/>
          <w:sz w:val="30"/>
          <w:szCs w:val="30"/>
        </w:rPr>
        <w:t>投标文件第二部分</w:t>
      </w: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一、法定</w:t>
      </w:r>
      <w:r>
        <w:rPr>
          <w:rFonts w:asciiTheme="minorEastAsia" w:hAnsiTheme="minorEastAsia" w:eastAsiaTheme="minorEastAsia"/>
          <w:sz w:val="28"/>
          <w:szCs w:val="28"/>
        </w:rPr>
        <w:t>代表人证明书</w:t>
      </w: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二、</w:t>
      </w:r>
      <w:r>
        <w:rPr>
          <w:rFonts w:asciiTheme="minorEastAsia" w:hAnsiTheme="minorEastAsia" w:eastAsiaTheme="minorEastAsia"/>
          <w:sz w:val="28"/>
          <w:szCs w:val="28"/>
        </w:rPr>
        <w:t>投标文件签署授权委托书</w:t>
      </w: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三</w:t>
      </w:r>
      <w:r>
        <w:rPr>
          <w:rFonts w:asciiTheme="minorEastAsia" w:hAnsiTheme="minorEastAsia" w:eastAsiaTheme="minorEastAsia"/>
          <w:sz w:val="28"/>
          <w:szCs w:val="28"/>
        </w:rPr>
        <w:t>、项目实施方案</w:t>
      </w:r>
    </w:p>
    <w:p>
      <w:pPr>
        <w:widowControl/>
        <w:jc w:val="left"/>
        <w:rPr>
          <w:rFonts w:asciiTheme="minorEastAsia" w:hAnsiTheme="minorEastAsia" w:eastAsiaTheme="minorEastAsia"/>
          <w:sz w:val="28"/>
          <w:szCs w:val="28"/>
        </w:rPr>
      </w:pPr>
      <w:r>
        <w:rPr>
          <w:rFonts w:hint="eastAsia" w:asciiTheme="minorEastAsia" w:hAnsiTheme="minorEastAsia" w:eastAsiaTheme="minorEastAsia"/>
          <w:sz w:val="28"/>
          <w:szCs w:val="28"/>
        </w:rPr>
        <w:t>四</w:t>
      </w:r>
      <w:r>
        <w:rPr>
          <w:rFonts w:asciiTheme="minorEastAsia" w:hAnsiTheme="minorEastAsia" w:eastAsiaTheme="minorEastAsia"/>
          <w:sz w:val="28"/>
          <w:szCs w:val="28"/>
        </w:rPr>
        <w:t>、售后服务方案</w:t>
      </w:r>
    </w:p>
    <w:p/>
    <w:p/>
    <w:p>
      <w:pPr>
        <w:rPr>
          <w:color w:val="FF0000"/>
        </w:rPr>
      </w:pPr>
      <w:r>
        <w:rPr>
          <w:rFonts w:hint="eastAsia"/>
          <w:color w:val="FF0000"/>
        </w:rPr>
        <w:t>注意</w:t>
      </w:r>
      <w:r>
        <w:rPr>
          <w:color w:val="FF0000"/>
        </w:rPr>
        <w:t>：</w:t>
      </w:r>
      <w:r>
        <w:rPr>
          <w:rFonts w:hint="eastAsia"/>
          <w:color w:val="FF0000"/>
        </w:rPr>
        <w:t xml:space="preserve"> 目录</w:t>
      </w:r>
      <w:r>
        <w:rPr>
          <w:color w:val="FF0000"/>
        </w:rPr>
        <w:t>须标注</w:t>
      </w:r>
      <w:r>
        <w:rPr>
          <w:rFonts w:hint="eastAsia"/>
          <w:color w:val="FF0000"/>
        </w:rPr>
        <w:t>对应</w:t>
      </w:r>
      <w:r>
        <w:rPr>
          <w:color w:val="FF0000"/>
        </w:rPr>
        <w:t>的页码</w:t>
      </w: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ind w:left="718" w:leftChars="342" w:firstLine="1417" w:firstLineChars="675"/>
        <w:rPr>
          <w:szCs w:val="21"/>
        </w:rPr>
      </w:pPr>
    </w:p>
    <w:p>
      <w:pPr>
        <w:pStyle w:val="3"/>
      </w:pPr>
      <w:r>
        <w:rPr>
          <w:rFonts w:hint="eastAsia"/>
          <w:color w:val="FF0000"/>
        </w:rPr>
        <w:t>投标文件第一部分</w:t>
      </w:r>
    </w:p>
    <w:p>
      <w:pPr>
        <w:rPr>
          <w:kern w:val="0"/>
        </w:rPr>
      </w:pPr>
    </w:p>
    <w:p>
      <w:pPr>
        <w:pStyle w:val="3"/>
        <w:jc w:val="center"/>
        <w:rPr>
          <w:rFonts w:ascii="黑体" w:eastAsia="黑体"/>
          <w:b w:val="0"/>
          <w:kern w:val="0"/>
          <w:sz w:val="32"/>
        </w:rPr>
      </w:pPr>
      <w:r>
        <w:rPr>
          <w:rFonts w:hint="eastAsia" w:ascii="黑体" w:eastAsia="黑体"/>
          <w:b w:val="0"/>
          <w:kern w:val="0"/>
          <w:sz w:val="32"/>
        </w:rPr>
        <w:t>一、投标函</w:t>
      </w:r>
    </w:p>
    <w:p>
      <w:pPr>
        <w:spacing w:line="360" w:lineRule="auto"/>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深圳大学总医院  </w:t>
      </w:r>
    </w:p>
    <w:p>
      <w:pPr>
        <w:spacing w:after="120" w:afterLines="50"/>
        <w:ind w:firstLine="560" w:firstLineChars="200"/>
        <w:rPr>
          <w:sz w:val="28"/>
          <w:szCs w:val="28"/>
        </w:rPr>
      </w:pPr>
      <w:r>
        <w:rPr>
          <w:rFonts w:hint="eastAsia"/>
          <w:sz w:val="28"/>
          <w:szCs w:val="28"/>
        </w:rPr>
        <w:t>1、根据已收到贵方的项目编号为</w:t>
      </w:r>
      <w:r>
        <w:rPr>
          <w:rFonts w:hint="eastAsia"/>
          <w:sz w:val="28"/>
          <w:szCs w:val="28"/>
          <w:u w:val="single"/>
        </w:rPr>
        <w:t xml:space="preserve">SUGHCG2020034EQ </w:t>
      </w:r>
      <w:r>
        <w:rPr>
          <w:rFonts w:hint="eastAsia"/>
          <w:sz w:val="28"/>
          <w:szCs w:val="28"/>
        </w:rPr>
        <w:t xml:space="preserve">的 </w:t>
      </w:r>
      <w:r>
        <w:rPr>
          <w:rFonts w:hint="eastAsia"/>
          <w:sz w:val="28"/>
          <w:szCs w:val="28"/>
          <w:u w:val="single"/>
        </w:rPr>
        <w:t>护理床头屏设备</w:t>
      </w:r>
      <w:r>
        <w:rPr>
          <w:rFonts w:hint="eastAsia"/>
          <w:sz w:val="28"/>
          <w:szCs w:val="28"/>
        </w:rPr>
        <w:t>项目的招标文件，遵照《深圳经济特区政府采购条例》和《深圳经济特区政府采购条例实施细则》等有关规定，我单位经研究上述招标文件的专用条款及通用条款后，我方愿以投标书中《投标一览表》填写的投标报价并按招标文件要求承包上述项目并修补其任何缺陷。</w:t>
      </w:r>
    </w:p>
    <w:p>
      <w:pPr>
        <w:spacing w:after="120" w:afterLines="50"/>
        <w:ind w:firstLine="548" w:firstLineChars="196"/>
        <w:rPr>
          <w:rFonts w:ascii="宋体" w:hAnsi="宋体"/>
          <w:sz w:val="28"/>
          <w:szCs w:val="28"/>
        </w:rPr>
      </w:pPr>
      <w:r>
        <w:rPr>
          <w:rFonts w:hint="eastAsia" w:ascii="宋体" w:hAnsi="宋体"/>
          <w:sz w:val="28"/>
          <w:szCs w:val="28"/>
        </w:rPr>
        <w:t>2、我方同意所递交的投标文件在“对通用条款的补充内容”中的投标有效期内有效，在此期间内我方的投标有可能中标，我方将受此约束。</w:t>
      </w:r>
    </w:p>
    <w:p>
      <w:pPr>
        <w:spacing w:after="120" w:afterLines="50"/>
        <w:ind w:firstLine="548" w:firstLineChars="196"/>
        <w:rPr>
          <w:rFonts w:ascii="宋体" w:hAnsi="宋体"/>
          <w:sz w:val="28"/>
          <w:szCs w:val="28"/>
        </w:rPr>
      </w:pPr>
      <w:r>
        <w:rPr>
          <w:rFonts w:hint="eastAsia" w:ascii="宋体" w:hAnsi="宋体"/>
          <w:sz w:val="28"/>
          <w:szCs w:val="28"/>
        </w:rPr>
        <w:t>3、除非另外达成协议并生效，贵方的中标通知书和本投标文件将构成约束我们双方的合同。</w:t>
      </w:r>
    </w:p>
    <w:p>
      <w:pPr>
        <w:spacing w:after="120" w:afterLines="50"/>
        <w:ind w:firstLine="548" w:firstLineChars="196"/>
        <w:rPr>
          <w:rFonts w:ascii="宋体" w:hAnsi="宋体"/>
          <w:sz w:val="28"/>
          <w:szCs w:val="28"/>
        </w:rPr>
      </w:pPr>
      <w:r>
        <w:rPr>
          <w:rFonts w:hint="eastAsia" w:ascii="宋体" w:hAnsi="宋体"/>
          <w:sz w:val="28"/>
          <w:szCs w:val="28"/>
        </w:rPr>
        <w:t>4、我方理解贵方将不受必须接受你们所收到的最低标价或其它任何投标文件的约束。</w:t>
      </w:r>
    </w:p>
    <w:p>
      <w:pPr>
        <w:ind w:left="540" w:leftChars="257"/>
        <w:rPr>
          <w:sz w:val="28"/>
          <w:szCs w:val="28"/>
        </w:rPr>
      </w:pPr>
    </w:p>
    <w:p>
      <w:pPr>
        <w:ind w:left="540" w:leftChars="257"/>
        <w:rPr>
          <w:sz w:val="28"/>
          <w:szCs w:val="28"/>
        </w:rPr>
      </w:pPr>
    </w:p>
    <w:p>
      <w:pPr>
        <w:ind w:left="540" w:leftChars="257"/>
        <w:rPr>
          <w:sz w:val="28"/>
          <w:szCs w:val="28"/>
        </w:rPr>
      </w:pPr>
      <w:r>
        <w:rPr>
          <w:rFonts w:hint="eastAsia"/>
          <w:sz w:val="28"/>
          <w:szCs w:val="28"/>
        </w:rPr>
        <w:t>投标人：</w:t>
      </w:r>
      <w:r>
        <w:rPr>
          <w:rFonts w:hint="eastAsia"/>
          <w:sz w:val="28"/>
          <w:szCs w:val="28"/>
          <w:u w:val="single"/>
        </w:rPr>
        <w:t xml:space="preserve">                   </w:t>
      </w:r>
      <w:r>
        <w:rPr>
          <w:rFonts w:hint="eastAsia"/>
          <w:sz w:val="28"/>
          <w:szCs w:val="28"/>
        </w:rPr>
        <w:t xml:space="preserve">   (盖章) </w:t>
      </w:r>
    </w:p>
    <w:p>
      <w:pPr>
        <w:ind w:left="540" w:leftChars="257"/>
        <w:rPr>
          <w:sz w:val="28"/>
          <w:szCs w:val="28"/>
          <w:u w:val="single"/>
        </w:rPr>
      </w:pPr>
      <w:r>
        <w:rPr>
          <w:rFonts w:hint="eastAsia"/>
          <w:sz w:val="28"/>
          <w:szCs w:val="28"/>
        </w:rPr>
        <w:t>单位地址：</w:t>
      </w:r>
      <w:r>
        <w:rPr>
          <w:rFonts w:hint="eastAsia"/>
          <w:sz w:val="28"/>
          <w:szCs w:val="28"/>
          <w:u w:val="single"/>
        </w:rPr>
        <w:t xml:space="preserve">               </w:t>
      </w:r>
      <w:r>
        <w:rPr>
          <w:sz w:val="28"/>
          <w:szCs w:val="28"/>
          <w:u w:val="single"/>
        </w:rPr>
        <w:t xml:space="preserve">            </w:t>
      </w:r>
    </w:p>
    <w:p>
      <w:pPr>
        <w:ind w:left="540" w:leftChars="257"/>
        <w:rPr>
          <w:sz w:val="28"/>
          <w:szCs w:val="28"/>
          <w:u w:val="single"/>
        </w:rPr>
      </w:pPr>
      <w:r>
        <w:rPr>
          <w:rFonts w:hint="eastAsia"/>
          <w:sz w:val="28"/>
          <w:szCs w:val="28"/>
        </w:rPr>
        <w:t>法定代表人或其委托代理人：</w:t>
      </w:r>
      <w:r>
        <w:rPr>
          <w:rFonts w:hint="eastAsia"/>
          <w:sz w:val="28"/>
          <w:szCs w:val="28"/>
          <w:u w:val="single"/>
        </w:rPr>
        <w:t xml:space="preserve">                  （签字</w:t>
      </w:r>
      <w:r>
        <w:rPr>
          <w:sz w:val="28"/>
          <w:szCs w:val="28"/>
          <w:u w:val="single"/>
        </w:rPr>
        <w:t>或签章</w:t>
      </w:r>
      <w:r>
        <w:rPr>
          <w:rFonts w:hint="eastAsia"/>
          <w:sz w:val="28"/>
          <w:szCs w:val="28"/>
          <w:u w:val="single"/>
        </w:rPr>
        <w:t xml:space="preserve">） </w:t>
      </w:r>
    </w:p>
    <w:p>
      <w:pPr>
        <w:ind w:left="540" w:leftChars="257"/>
        <w:rPr>
          <w:sz w:val="28"/>
          <w:szCs w:val="28"/>
          <w:u w:val="single"/>
        </w:rPr>
      </w:pPr>
      <w:r>
        <w:rPr>
          <w:rFonts w:hint="eastAsia"/>
          <w:sz w:val="28"/>
          <w:szCs w:val="28"/>
        </w:rPr>
        <w:t>电话：</w:t>
      </w:r>
      <w:r>
        <w:rPr>
          <w:rFonts w:hint="eastAsia"/>
          <w:sz w:val="28"/>
          <w:szCs w:val="28"/>
          <w:u w:val="single"/>
        </w:rPr>
        <w:t xml:space="preserve">          </w:t>
      </w:r>
      <w:r>
        <w:rPr>
          <w:rFonts w:hint="eastAsia"/>
          <w:sz w:val="28"/>
          <w:szCs w:val="28"/>
        </w:rPr>
        <w:t xml:space="preserve">  传真：</w:t>
      </w:r>
      <w:r>
        <w:rPr>
          <w:rFonts w:hint="eastAsia"/>
          <w:sz w:val="28"/>
          <w:szCs w:val="28"/>
          <w:u w:val="single"/>
        </w:rPr>
        <w:t xml:space="preserve">            </w:t>
      </w:r>
    </w:p>
    <w:p>
      <w:pPr>
        <w:ind w:left="540" w:leftChars="257"/>
        <w:rPr>
          <w:sz w:val="28"/>
          <w:szCs w:val="28"/>
        </w:rPr>
      </w:pPr>
      <w:r>
        <w:rPr>
          <w:rFonts w:hint="eastAsia"/>
          <w:sz w:val="28"/>
          <w:szCs w:val="28"/>
        </w:rPr>
        <w:t>开户银行名称：</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rPr>
        <w:tab/>
      </w:r>
      <w:r>
        <w:rPr>
          <w:rFonts w:hint="eastAsia"/>
          <w:sz w:val="28"/>
          <w:szCs w:val="28"/>
        </w:rPr>
        <w:t>开户银行帐号：</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p>
    <w:p>
      <w:pPr>
        <w:ind w:left="540" w:leftChars="257"/>
        <w:rPr>
          <w:sz w:val="28"/>
          <w:szCs w:val="28"/>
        </w:rPr>
      </w:pPr>
      <w:r>
        <w:rPr>
          <w:rFonts w:hint="eastAsia"/>
          <w:sz w:val="28"/>
          <w:szCs w:val="28"/>
        </w:rPr>
        <w:t>开户银行地址：</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rPr>
        <w:tab/>
      </w:r>
      <w:r>
        <w:rPr>
          <w:rFonts w:hint="eastAsia"/>
          <w:sz w:val="28"/>
          <w:szCs w:val="28"/>
        </w:rPr>
        <w:t>开户银行电话：</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p>
    <w:p>
      <w:pPr>
        <w:ind w:firstLine="560" w:firstLineChars="200"/>
        <w:rPr>
          <w:sz w:val="24"/>
        </w:rPr>
      </w:pPr>
      <w:r>
        <w:rPr>
          <w:rFonts w:hint="eastAsia" w:ascii="宋体" w:hAnsi="宋体"/>
          <w:sz w:val="28"/>
          <w:szCs w:val="28"/>
        </w:rPr>
        <w:t>日期：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r>
        <w:rPr>
          <w:rFonts w:hint="eastAsia"/>
          <w:sz w:val="28"/>
          <w:szCs w:val="28"/>
        </w:rPr>
        <w:t xml:space="preserve">            </w:t>
      </w:r>
      <w:r>
        <w:rPr>
          <w:rFonts w:hint="eastAsia"/>
          <w:sz w:val="24"/>
        </w:rPr>
        <w:t xml:space="preserve">                    </w:t>
      </w:r>
    </w:p>
    <w:p>
      <w:pPr>
        <w:rPr>
          <w:rFonts w:ascii="黑体" w:hAnsi="宋体" w:eastAsia="黑体"/>
        </w:rPr>
      </w:pPr>
      <w:r>
        <w:rPr>
          <w:rFonts w:ascii="黑体" w:hAnsi="宋体" w:eastAsia="黑体"/>
        </w:rPr>
        <w:br w:type="page"/>
      </w:r>
    </w:p>
    <w:p>
      <w:pPr>
        <w:pStyle w:val="3"/>
        <w:jc w:val="center"/>
        <w:rPr>
          <w:rFonts w:ascii="黑体" w:eastAsia="黑体"/>
          <w:b w:val="0"/>
          <w:kern w:val="0"/>
          <w:sz w:val="32"/>
        </w:rPr>
      </w:pPr>
      <w:r>
        <w:rPr>
          <w:rFonts w:hint="eastAsia" w:ascii="黑体" w:eastAsia="黑体"/>
          <w:b w:val="0"/>
          <w:kern w:val="0"/>
          <w:sz w:val="32"/>
        </w:rPr>
        <w:t>二、投标及履约承诺函</w:t>
      </w:r>
    </w:p>
    <w:p>
      <w:pPr>
        <w:rPr>
          <w:rFonts w:ascii="宋体" w:hAnsi="宋体"/>
          <w:sz w:val="24"/>
        </w:rPr>
      </w:pPr>
    </w:p>
    <w:p>
      <w:pPr>
        <w:rPr>
          <w:rFonts w:ascii="宋体" w:hAnsi="宋体"/>
          <w:sz w:val="28"/>
          <w:szCs w:val="28"/>
        </w:rPr>
      </w:pPr>
      <w:r>
        <w:rPr>
          <w:rFonts w:hint="eastAsia" w:ascii="宋体" w:hAnsi="宋体"/>
          <w:sz w:val="28"/>
          <w:szCs w:val="28"/>
        </w:rPr>
        <w:t>致：</w:t>
      </w:r>
      <w:r>
        <w:rPr>
          <w:rFonts w:hint="eastAsia" w:ascii="宋体" w:hAnsi="宋体"/>
          <w:sz w:val="28"/>
          <w:szCs w:val="28"/>
          <w:u w:val="single"/>
        </w:rPr>
        <w:t>深圳大学总医院</w:t>
      </w:r>
    </w:p>
    <w:p>
      <w:pPr>
        <w:rPr>
          <w:rFonts w:ascii="宋体" w:hAnsi="宋体"/>
          <w:sz w:val="28"/>
          <w:szCs w:val="28"/>
        </w:rPr>
      </w:pPr>
    </w:p>
    <w:p>
      <w:pPr>
        <w:ind w:right="-815" w:firstLine="560" w:firstLineChars="200"/>
        <w:rPr>
          <w:rFonts w:ascii="宋体" w:hAnsi="宋体"/>
          <w:sz w:val="28"/>
          <w:szCs w:val="28"/>
        </w:rPr>
      </w:pPr>
      <w:r>
        <w:rPr>
          <w:rFonts w:hint="eastAsia" w:ascii="宋体" w:hAnsi="宋体"/>
          <w:sz w:val="28"/>
          <w:szCs w:val="28"/>
        </w:rPr>
        <w:t>我公司承诺：</w:t>
      </w:r>
    </w:p>
    <w:p>
      <w:pPr>
        <w:ind w:firstLine="560" w:firstLineChars="200"/>
        <w:rPr>
          <w:rFonts w:ascii="宋体" w:hAnsi="宋体"/>
          <w:sz w:val="28"/>
          <w:szCs w:val="28"/>
        </w:rPr>
      </w:pPr>
      <w:r>
        <w:rPr>
          <w:rFonts w:hint="eastAsia" w:ascii="宋体" w:hAnsi="宋体"/>
          <w:sz w:val="28"/>
          <w:szCs w:val="28"/>
        </w:rPr>
        <w:t>1.我公司依法缴纳税收和社会保障资金。</w:t>
      </w:r>
    </w:p>
    <w:p>
      <w:pPr>
        <w:ind w:firstLine="560" w:firstLineChars="200"/>
        <w:rPr>
          <w:rFonts w:ascii="宋体" w:hAnsi="宋体"/>
          <w:sz w:val="28"/>
          <w:szCs w:val="28"/>
        </w:rPr>
      </w:pPr>
      <w:r>
        <w:rPr>
          <w:rFonts w:hint="eastAsia" w:ascii="宋体" w:hAnsi="宋体"/>
          <w:sz w:val="28"/>
          <w:szCs w:val="28"/>
        </w:rPr>
        <w:t>2.我公司具备合同所必需的社保和专业技术能力。</w:t>
      </w:r>
    </w:p>
    <w:p>
      <w:pPr>
        <w:ind w:firstLine="560" w:firstLineChars="200"/>
        <w:rPr>
          <w:rFonts w:ascii="宋体" w:hAnsi="宋体"/>
          <w:sz w:val="28"/>
          <w:szCs w:val="28"/>
        </w:rPr>
      </w:pPr>
      <w:r>
        <w:rPr>
          <w:rFonts w:hint="eastAsia" w:ascii="宋体" w:hAnsi="宋体"/>
          <w:sz w:val="28"/>
          <w:szCs w:val="28"/>
        </w:rPr>
        <w:t>3.我公司参与本项目投标前三年内在经营活动中没有重大违法记录。</w:t>
      </w:r>
    </w:p>
    <w:p>
      <w:pPr>
        <w:ind w:firstLine="560" w:firstLineChars="200"/>
        <w:rPr>
          <w:rFonts w:ascii="宋体" w:hAnsi="宋体"/>
          <w:sz w:val="28"/>
          <w:szCs w:val="28"/>
        </w:rPr>
      </w:pPr>
      <w:r>
        <w:rPr>
          <w:rFonts w:hint="eastAsia" w:ascii="宋体" w:hAnsi="宋体"/>
          <w:sz w:val="28"/>
          <w:szCs w:val="28"/>
        </w:rPr>
        <w:t>4.</w:t>
      </w:r>
      <w:r>
        <w:rPr>
          <w:rFonts w:hint="eastAsia"/>
          <w:sz w:val="28"/>
          <w:szCs w:val="28"/>
        </w:rPr>
        <w:t>我公司参与本项目采购活动时不存在被有关部门禁止参与政府采购活动且在有效期内的情况。</w:t>
      </w:r>
    </w:p>
    <w:p>
      <w:pPr>
        <w:ind w:firstLine="560" w:firstLineChars="200"/>
        <w:rPr>
          <w:rFonts w:ascii="宋体" w:hAnsi="宋体"/>
          <w:sz w:val="28"/>
          <w:szCs w:val="28"/>
        </w:rPr>
      </w:pPr>
      <w:r>
        <w:rPr>
          <w:rFonts w:hint="eastAsia" w:ascii="宋体" w:hAnsi="宋体"/>
          <w:sz w:val="28"/>
          <w:szCs w:val="28"/>
        </w:rPr>
        <w:t>5.我公司对本招标项目所提供的货物或服务未侵犯知识产权。</w:t>
      </w:r>
    </w:p>
    <w:p>
      <w:pPr>
        <w:ind w:firstLine="560" w:firstLineChars="200"/>
        <w:rPr>
          <w:rFonts w:ascii="宋体" w:hAnsi="宋体"/>
          <w:sz w:val="28"/>
          <w:szCs w:val="28"/>
        </w:rPr>
      </w:pPr>
      <w:r>
        <w:rPr>
          <w:rFonts w:hint="eastAsia" w:ascii="宋体" w:hAnsi="宋体"/>
          <w:sz w:val="28"/>
          <w:szCs w:val="28"/>
        </w:rPr>
        <w:t>6.我公司保证采购人拥有所投产品完整的所有权，不以保护知识产权或技术保密的名义对所有权和使用权进行任何限制。</w:t>
      </w:r>
    </w:p>
    <w:p>
      <w:pPr>
        <w:ind w:firstLine="560" w:firstLineChars="200"/>
        <w:rPr>
          <w:rFonts w:ascii="宋体" w:hAnsi="宋体"/>
          <w:sz w:val="28"/>
          <w:szCs w:val="28"/>
        </w:rPr>
      </w:pPr>
      <w:r>
        <w:rPr>
          <w:rFonts w:hint="eastAsia" w:ascii="宋体" w:hAnsi="宋体"/>
          <w:sz w:val="28"/>
          <w:szCs w:val="28"/>
        </w:rPr>
        <w:t>7.我公司参与该项目投标，严格遵守相关法律，投标做到诚实，不造假，不围标、串标、陪标。我公司已清楚，如违反上述要求，其投标将作废，被列入不良记录名单并在网上曝光，同时将被提请深圳大学总医院采购监督管理部门给予一定年限内禁止参与深圳大学总医院采购活动或其他处罚。</w:t>
      </w:r>
    </w:p>
    <w:p>
      <w:pPr>
        <w:ind w:firstLine="560" w:firstLineChars="200"/>
        <w:rPr>
          <w:rFonts w:ascii="宋体" w:hAnsi="宋体"/>
          <w:sz w:val="28"/>
          <w:szCs w:val="28"/>
        </w:rPr>
      </w:pPr>
      <w:r>
        <w:rPr>
          <w:rFonts w:hint="eastAsia" w:ascii="宋体" w:hAnsi="宋体"/>
          <w:sz w:val="28"/>
          <w:szCs w:val="28"/>
        </w:rPr>
        <w:t>8.如果中标，做到守信，不偷工减料，依照本项目招标文件需求内容、签署的采购合同及本公司在投标中所作的一切承诺履约。项目验收达到全部指标合格，力争优良。</w:t>
      </w:r>
    </w:p>
    <w:p>
      <w:pPr>
        <w:ind w:firstLine="560" w:firstLineChars="200"/>
        <w:rPr>
          <w:rFonts w:ascii="宋体" w:hAnsi="宋体"/>
          <w:sz w:val="28"/>
          <w:szCs w:val="28"/>
        </w:rPr>
      </w:pPr>
      <w:r>
        <w:rPr>
          <w:rFonts w:hint="eastAsia" w:ascii="宋体" w:hAnsi="宋体"/>
          <w:sz w:val="28"/>
          <w:szCs w:val="28"/>
        </w:rPr>
        <w:t>9. 我公司保证不违法分包转包。</w:t>
      </w:r>
    </w:p>
    <w:p>
      <w:pPr>
        <w:ind w:firstLine="560" w:firstLineChars="200"/>
        <w:rPr>
          <w:rFonts w:ascii="宋体" w:hAnsi="宋体"/>
          <w:sz w:val="28"/>
          <w:szCs w:val="28"/>
        </w:rPr>
      </w:pPr>
      <w:r>
        <w:rPr>
          <w:rFonts w:ascii="宋体" w:hAnsi="宋体"/>
          <w:sz w:val="28"/>
          <w:szCs w:val="28"/>
        </w:rPr>
        <w:t>10</w:t>
      </w:r>
      <w:r>
        <w:rPr>
          <w:rFonts w:hint="eastAsia" w:ascii="宋体" w:hAnsi="宋体"/>
          <w:sz w:val="28"/>
          <w:szCs w:val="28"/>
        </w:rPr>
        <w:t>.在本项目招标过程中，评标委员会若对投标人进行现场勘察或实地考察或检验有关证明材料的原件，我公司将随时做好接受检查的准备。</w:t>
      </w:r>
    </w:p>
    <w:p>
      <w:pPr>
        <w:ind w:firstLine="560" w:firstLineChars="200"/>
        <w:rPr>
          <w:rFonts w:ascii="宋体" w:hAnsi="宋体"/>
          <w:sz w:val="28"/>
          <w:szCs w:val="28"/>
        </w:rPr>
      </w:pPr>
      <w:r>
        <w:rPr>
          <w:rFonts w:hint="eastAsia" w:ascii="宋体" w:hAnsi="宋体"/>
          <w:sz w:val="28"/>
          <w:szCs w:val="28"/>
        </w:rPr>
        <w:t>以上承诺，如有违反，愿依照国家相关法律处理，并承担由此给采购人带来的损失。</w:t>
      </w:r>
    </w:p>
    <w:p>
      <w:pPr>
        <w:wordWrap w:val="0"/>
        <w:ind w:firstLine="645"/>
        <w:jc w:val="right"/>
        <w:rPr>
          <w:rFonts w:ascii="宋体" w:hAnsi="宋体"/>
          <w:sz w:val="28"/>
          <w:szCs w:val="28"/>
        </w:rPr>
      </w:pPr>
    </w:p>
    <w:p>
      <w:pPr>
        <w:ind w:firstLine="645"/>
        <w:jc w:val="right"/>
        <w:rPr>
          <w:rFonts w:ascii="宋体" w:hAnsi="宋体"/>
          <w:sz w:val="28"/>
          <w:szCs w:val="28"/>
        </w:rPr>
      </w:pPr>
    </w:p>
    <w:p>
      <w:pPr>
        <w:ind w:firstLine="645"/>
        <w:jc w:val="right"/>
        <w:rPr>
          <w:rFonts w:ascii="宋体" w:hAnsi="宋体"/>
          <w:sz w:val="28"/>
          <w:szCs w:val="28"/>
        </w:rPr>
      </w:pPr>
      <w:r>
        <w:rPr>
          <w:rFonts w:hint="eastAsia" w:ascii="宋体" w:hAnsi="宋体"/>
          <w:sz w:val="28"/>
          <w:szCs w:val="28"/>
        </w:rPr>
        <w:t>法定代表人或其委托代理人：              （签字或签章）</w:t>
      </w:r>
    </w:p>
    <w:p>
      <w:pPr>
        <w:ind w:firstLine="645"/>
        <w:jc w:val="right"/>
        <w:rPr>
          <w:rFonts w:ascii="宋体" w:hAnsi="宋体"/>
          <w:sz w:val="28"/>
          <w:szCs w:val="28"/>
        </w:rPr>
      </w:pPr>
    </w:p>
    <w:p>
      <w:pPr>
        <w:wordWrap w:val="0"/>
        <w:ind w:firstLine="645"/>
        <w:jc w:val="right"/>
        <w:rPr>
          <w:rFonts w:ascii="宋体" w:hAnsi="宋体"/>
          <w:sz w:val="28"/>
          <w:szCs w:val="28"/>
        </w:rPr>
      </w:pPr>
      <w:r>
        <w:rPr>
          <w:rFonts w:hint="eastAsia" w:ascii="宋体" w:hAnsi="宋体"/>
          <w:sz w:val="28"/>
          <w:szCs w:val="28"/>
        </w:rPr>
        <w:t xml:space="preserve">公司名称：                                   （盖章）   </w:t>
      </w:r>
    </w:p>
    <w:p>
      <w:pPr>
        <w:pStyle w:val="22"/>
        <w:ind w:firstLine="560" w:firstLineChars="200"/>
        <w:rPr>
          <w:rFonts w:ascii="宋体"/>
          <w:b w:val="0"/>
          <w:sz w:val="28"/>
          <w:szCs w:val="28"/>
        </w:rPr>
      </w:pPr>
      <w:r>
        <w:rPr>
          <w:rFonts w:hint="eastAsia" w:ascii="宋体"/>
          <w:b w:val="0"/>
          <w:sz w:val="28"/>
          <w:szCs w:val="28"/>
        </w:rPr>
        <w:t xml:space="preserve">                                          </w:t>
      </w:r>
      <w:r>
        <w:rPr>
          <w:rFonts w:ascii="宋体"/>
          <w:b w:val="0"/>
          <w:sz w:val="28"/>
          <w:szCs w:val="28"/>
        </w:rPr>
        <w:t xml:space="preserve"> </w:t>
      </w:r>
      <w:r>
        <w:rPr>
          <w:rFonts w:hint="eastAsia" w:ascii="宋体"/>
          <w:b w:val="0"/>
          <w:sz w:val="28"/>
          <w:szCs w:val="28"/>
        </w:rPr>
        <w:t>年   月   日</w:t>
      </w:r>
    </w:p>
    <w:p>
      <w:pPr>
        <w:pStyle w:val="22"/>
        <w:ind w:firstLine="420" w:firstLineChars="200"/>
        <w:rPr>
          <w:rFonts w:ascii="宋体" w:hAnsi="宋体"/>
        </w:rPr>
      </w:pPr>
      <w:r>
        <w:rPr>
          <w:rFonts w:ascii="宋体"/>
          <w:b w:val="0"/>
          <w:sz w:val="21"/>
          <w:szCs w:val="21"/>
        </w:rPr>
        <w:br w:type="page"/>
      </w:r>
    </w:p>
    <w:p>
      <w:pPr>
        <w:pStyle w:val="3"/>
        <w:jc w:val="center"/>
        <w:rPr>
          <w:rFonts w:ascii="黑体" w:hAnsi="黑体" w:eastAsia="黑体"/>
          <w:b w:val="0"/>
          <w:sz w:val="24"/>
          <w:szCs w:val="24"/>
        </w:rPr>
      </w:pPr>
      <w:r>
        <w:rPr>
          <w:rFonts w:ascii="黑体" w:hAnsi="黑体" w:eastAsia="黑体"/>
          <w:b w:val="0"/>
          <w:sz w:val="24"/>
          <w:szCs w:val="24"/>
        </w:rPr>
        <w:t>三、投标一览表</w:t>
      </w:r>
    </w:p>
    <w:p>
      <w:pPr>
        <w:spacing w:line="360" w:lineRule="auto"/>
        <w:ind w:left="151" w:leftChars="72"/>
        <w:rPr>
          <w:rFonts w:ascii="宋体" w:hAnsi="宋体"/>
          <w:sz w:val="24"/>
          <w:szCs w:val="22"/>
        </w:rPr>
      </w:pPr>
      <w:r>
        <w:rPr>
          <w:rFonts w:hint="eastAsia" w:ascii="宋体" w:hAnsi="宋体"/>
          <w:sz w:val="24"/>
        </w:rPr>
        <w:t>投标人名称：_________________ （盖章）</w:t>
      </w:r>
    </w:p>
    <w:p>
      <w:pPr>
        <w:spacing w:line="360" w:lineRule="auto"/>
        <w:ind w:left="151" w:leftChars="72"/>
        <w:rPr>
          <w:rFonts w:ascii="宋体" w:hAnsi="宋体"/>
          <w:color w:val="FF0000"/>
          <w:sz w:val="24"/>
          <w:u w:val="single"/>
        </w:rPr>
      </w:pPr>
      <w:r>
        <w:rPr>
          <w:rFonts w:hint="eastAsia" w:ascii="宋体" w:hAnsi="宋体"/>
          <w:color w:val="FF0000"/>
          <w:sz w:val="24"/>
        </w:rPr>
        <w:t xml:space="preserve">项目编号/包号：_______________ </w:t>
      </w:r>
    </w:p>
    <w:p>
      <w:pPr>
        <w:spacing w:line="360" w:lineRule="auto"/>
        <w:jc w:val="right"/>
        <w:rPr>
          <w:rFonts w:ascii="宋体" w:hAnsi="宋体"/>
          <w:sz w:val="24"/>
        </w:rPr>
      </w:pPr>
    </w:p>
    <w:p>
      <w:pPr>
        <w:spacing w:line="360" w:lineRule="auto"/>
        <w:jc w:val="right"/>
        <w:rPr>
          <w:rFonts w:ascii="宋体" w:hAnsi="宋体"/>
          <w:b/>
          <w:sz w:val="24"/>
        </w:rPr>
      </w:pPr>
    </w:p>
    <w:tbl>
      <w:tblPr>
        <w:tblStyle w:val="54"/>
        <w:tblW w:w="4831" w:type="pct"/>
        <w:tblInd w:w="288" w:type="dxa"/>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86"/>
        <w:gridCol w:w="1599"/>
        <w:gridCol w:w="3247"/>
        <w:gridCol w:w="2609"/>
      </w:tblGrid>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trPr>
        <w:tc>
          <w:tcPr>
            <w:tcW w:w="477" w:type="pct"/>
            <w:vAlign w:val="center"/>
          </w:tcPr>
          <w:p>
            <w:pPr>
              <w:spacing w:line="360" w:lineRule="auto"/>
              <w:jc w:val="center"/>
              <w:rPr>
                <w:rFonts w:ascii="宋体" w:hAnsi="宋体"/>
                <w:sz w:val="24"/>
                <w:szCs w:val="22"/>
              </w:rPr>
            </w:pPr>
            <w:r>
              <w:rPr>
                <w:rFonts w:hint="eastAsia" w:ascii="宋体" w:hAnsi="宋体"/>
                <w:sz w:val="24"/>
              </w:rPr>
              <w:t>包号</w:t>
            </w:r>
          </w:p>
        </w:tc>
        <w:tc>
          <w:tcPr>
            <w:tcW w:w="970" w:type="pct"/>
            <w:vAlign w:val="center"/>
          </w:tcPr>
          <w:p>
            <w:pPr>
              <w:spacing w:line="360" w:lineRule="auto"/>
              <w:jc w:val="center"/>
              <w:rPr>
                <w:rFonts w:ascii="宋体" w:hAnsi="宋体"/>
                <w:sz w:val="24"/>
                <w:szCs w:val="22"/>
              </w:rPr>
            </w:pPr>
            <w:r>
              <w:rPr>
                <w:rFonts w:hint="eastAsia" w:ascii="宋体" w:hAnsi="宋体"/>
                <w:sz w:val="24"/>
              </w:rPr>
              <w:t>货物/或服务名称</w:t>
            </w:r>
          </w:p>
        </w:tc>
        <w:tc>
          <w:tcPr>
            <w:tcW w:w="1970" w:type="pct"/>
            <w:vAlign w:val="center"/>
          </w:tcPr>
          <w:p>
            <w:pPr>
              <w:spacing w:line="360" w:lineRule="auto"/>
              <w:jc w:val="center"/>
              <w:rPr>
                <w:rFonts w:ascii="宋体" w:hAnsi="宋体"/>
                <w:sz w:val="24"/>
                <w:szCs w:val="22"/>
              </w:rPr>
            </w:pPr>
            <w:r>
              <w:rPr>
                <w:rFonts w:hint="eastAsia" w:ascii="宋体" w:hAnsi="宋体"/>
                <w:sz w:val="24"/>
              </w:rPr>
              <w:t>投标总价（元/人民币）</w:t>
            </w:r>
          </w:p>
        </w:tc>
        <w:tc>
          <w:tcPr>
            <w:tcW w:w="1583" w:type="pct"/>
            <w:vAlign w:val="center"/>
          </w:tcPr>
          <w:p>
            <w:pPr>
              <w:spacing w:line="360" w:lineRule="auto"/>
              <w:jc w:val="center"/>
              <w:rPr>
                <w:rFonts w:ascii="宋体" w:hAnsi="宋体"/>
                <w:sz w:val="24"/>
              </w:rPr>
            </w:pPr>
            <w:r>
              <w:rPr>
                <w:rFonts w:hint="eastAsia" w:ascii="宋体" w:hAnsi="宋体"/>
                <w:sz w:val="24"/>
              </w:rPr>
              <w:t>交货期（天/日历日）</w:t>
            </w: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1" w:hRule="atLeast"/>
        </w:trPr>
        <w:tc>
          <w:tcPr>
            <w:tcW w:w="477" w:type="pct"/>
            <w:vAlign w:val="center"/>
          </w:tcPr>
          <w:p>
            <w:pPr>
              <w:spacing w:line="360" w:lineRule="auto"/>
              <w:jc w:val="center"/>
              <w:rPr>
                <w:rFonts w:ascii="宋体" w:hAnsi="宋体"/>
                <w:sz w:val="24"/>
                <w:szCs w:val="22"/>
              </w:rPr>
            </w:pPr>
          </w:p>
        </w:tc>
        <w:tc>
          <w:tcPr>
            <w:tcW w:w="970" w:type="pct"/>
            <w:vAlign w:val="center"/>
          </w:tcPr>
          <w:p>
            <w:pPr>
              <w:spacing w:line="360" w:lineRule="auto"/>
              <w:jc w:val="center"/>
              <w:rPr>
                <w:rFonts w:ascii="宋体" w:hAnsi="宋体"/>
                <w:color w:val="FF0000"/>
                <w:sz w:val="24"/>
                <w:szCs w:val="22"/>
              </w:rPr>
            </w:pPr>
          </w:p>
        </w:tc>
        <w:tc>
          <w:tcPr>
            <w:tcW w:w="1970" w:type="pct"/>
            <w:vAlign w:val="center"/>
          </w:tcPr>
          <w:p>
            <w:pPr>
              <w:spacing w:line="360" w:lineRule="auto"/>
              <w:rPr>
                <w:rFonts w:ascii="宋体" w:hAnsi="宋体"/>
                <w:sz w:val="24"/>
              </w:rPr>
            </w:pPr>
            <w:r>
              <w:rPr>
                <w:rFonts w:hint="eastAsia" w:ascii="宋体" w:hAnsi="宋体"/>
                <w:sz w:val="24"/>
              </w:rPr>
              <w:t>小写金额：</w:t>
            </w:r>
          </w:p>
          <w:p>
            <w:pPr>
              <w:spacing w:line="360" w:lineRule="auto"/>
              <w:rPr>
                <w:rFonts w:ascii="宋体" w:hAnsi="宋体"/>
                <w:sz w:val="24"/>
                <w:szCs w:val="22"/>
              </w:rPr>
            </w:pPr>
            <w:r>
              <w:rPr>
                <w:rFonts w:hint="eastAsia" w:ascii="宋体" w:hAnsi="宋体"/>
                <w:sz w:val="24"/>
              </w:rPr>
              <w:t>大写金额：</w:t>
            </w:r>
          </w:p>
        </w:tc>
        <w:tc>
          <w:tcPr>
            <w:tcW w:w="1583" w:type="pct"/>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6"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5000" w:type="pct"/>
            <w:gridSpan w:val="4"/>
            <w:vAlign w:val="center"/>
          </w:tcPr>
          <w:p>
            <w:pPr>
              <w:spacing w:line="360" w:lineRule="auto"/>
              <w:rPr>
                <w:rFonts w:ascii="宋体" w:hAnsi="宋体"/>
                <w:sz w:val="24"/>
              </w:rPr>
            </w:pPr>
            <w:r>
              <w:rPr>
                <w:rFonts w:hint="eastAsia" w:ascii="宋体" w:hAnsi="宋体"/>
                <w:sz w:val="24"/>
              </w:rPr>
              <w:t>注：上述投标一览表经我方投标代表确认无误，我方无其他投标声明</w:t>
            </w:r>
          </w:p>
        </w:tc>
      </w:tr>
    </w:tbl>
    <w:p>
      <w:pPr>
        <w:spacing w:line="360" w:lineRule="auto"/>
        <w:ind w:left="153" w:hanging="153"/>
        <w:rPr>
          <w:rFonts w:ascii="宋体" w:hAnsi="宋体"/>
          <w:sz w:val="24"/>
          <w:szCs w:val="22"/>
        </w:rPr>
      </w:pPr>
    </w:p>
    <w:p>
      <w:pPr>
        <w:spacing w:line="360" w:lineRule="auto"/>
        <w:ind w:left="-840" w:leftChars="-400" w:firstLine="840" w:firstLineChars="350"/>
        <w:rPr>
          <w:rFonts w:ascii="宋体" w:hAnsi="宋体"/>
          <w:sz w:val="24"/>
        </w:rPr>
      </w:pPr>
      <w:r>
        <w:rPr>
          <w:rFonts w:hint="eastAsia" w:ascii="宋体" w:hAnsi="宋体"/>
          <w:sz w:val="24"/>
        </w:rPr>
        <w:t>注：</w:t>
      </w:r>
    </w:p>
    <w:p>
      <w:pPr>
        <w:numPr>
          <w:ilvl w:val="3"/>
          <w:numId w:val="4"/>
        </w:numPr>
        <w:tabs>
          <w:tab w:val="left" w:pos="360"/>
        </w:tabs>
        <w:spacing w:line="360" w:lineRule="auto"/>
        <w:ind w:left="480" w:hanging="480"/>
        <w:rPr>
          <w:rFonts w:ascii="宋体" w:hAnsi="宋体"/>
          <w:sz w:val="24"/>
        </w:rPr>
      </w:pPr>
      <w:r>
        <w:rPr>
          <w:rFonts w:hint="eastAsia" w:ascii="宋体" w:hAnsi="宋体"/>
          <w:sz w:val="24"/>
        </w:rPr>
        <w:t>投标人应按要求填写投标总价的大写金额，如未填写，所产生的不利后果由投标人自行承担。</w:t>
      </w:r>
    </w:p>
    <w:p>
      <w:pPr>
        <w:numPr>
          <w:ilvl w:val="3"/>
          <w:numId w:val="4"/>
        </w:numPr>
        <w:tabs>
          <w:tab w:val="left" w:pos="360"/>
        </w:tabs>
        <w:spacing w:line="360" w:lineRule="auto"/>
        <w:ind w:left="480" w:hanging="480"/>
        <w:rPr>
          <w:rFonts w:ascii="宋体" w:hAnsi="宋体"/>
          <w:sz w:val="24"/>
        </w:rPr>
      </w:pPr>
      <w:r>
        <w:rPr>
          <w:rFonts w:hint="eastAsia" w:ascii="宋体" w:hAnsi="宋体"/>
          <w:sz w:val="24"/>
        </w:rPr>
        <w:t>投标人应以包为单位（如分包招标的话），单独填写投标一览表。</w:t>
      </w:r>
    </w:p>
    <w:p>
      <w:pPr>
        <w:tabs>
          <w:tab w:val="left" w:pos="360"/>
        </w:tabs>
        <w:spacing w:line="360" w:lineRule="auto"/>
        <w:ind w:left="360"/>
        <w:rPr>
          <w:rFonts w:ascii="宋体" w:hAnsi="宋体"/>
          <w:sz w:val="24"/>
        </w:rPr>
      </w:pPr>
    </w:p>
    <w:p>
      <w:pPr>
        <w:spacing w:line="360" w:lineRule="auto"/>
        <w:ind w:left="153" w:hanging="153"/>
        <w:rPr>
          <w:rFonts w:ascii="宋体" w:hAnsi="宋体"/>
          <w:sz w:val="24"/>
        </w:rPr>
      </w:pPr>
    </w:p>
    <w:p>
      <w:pPr>
        <w:spacing w:line="360" w:lineRule="auto"/>
        <w:ind w:left="153" w:hanging="153"/>
        <w:rPr>
          <w:rFonts w:ascii="宋体" w:hAnsi="宋体"/>
          <w:sz w:val="24"/>
        </w:rPr>
      </w:pPr>
    </w:p>
    <w:p>
      <w:pPr>
        <w:spacing w:line="360" w:lineRule="auto"/>
        <w:ind w:left="-1079" w:leftChars="-514" w:firstLine="1077" w:firstLineChars="449"/>
        <w:rPr>
          <w:rFonts w:ascii="宋体" w:hAnsi="宋体"/>
          <w:sz w:val="24"/>
        </w:rPr>
      </w:pPr>
      <w:r>
        <w:rPr>
          <w:rFonts w:hint="eastAsia" w:ascii="宋体" w:hAnsi="宋体"/>
          <w:sz w:val="24"/>
        </w:rPr>
        <w:t>投标人代表（法定代表人或其委托代理人）：__________________（签名</w:t>
      </w:r>
      <w:r>
        <w:rPr>
          <w:rFonts w:ascii="宋体" w:hAnsi="宋体"/>
          <w:sz w:val="24"/>
        </w:rPr>
        <w:t>或签章</w:t>
      </w:r>
      <w:r>
        <w:rPr>
          <w:rFonts w:hint="eastAsia" w:ascii="宋体" w:hAnsi="宋体"/>
          <w:sz w:val="24"/>
        </w:rPr>
        <w:t xml:space="preserve">）  </w:t>
      </w:r>
    </w:p>
    <w:p>
      <w:pPr>
        <w:spacing w:line="360" w:lineRule="auto"/>
        <w:ind w:left="-1079" w:leftChars="-514" w:firstLine="1077" w:firstLineChars="449"/>
        <w:rPr>
          <w:rFonts w:ascii="宋体" w:hAnsi="宋体"/>
          <w:sz w:val="24"/>
        </w:rPr>
      </w:pPr>
      <w:r>
        <w:rPr>
          <w:rFonts w:hint="eastAsia" w:ascii="宋体" w:hAnsi="宋体"/>
          <w:sz w:val="24"/>
        </w:rPr>
        <w:t>日期：   年   月   日</w:t>
      </w:r>
    </w:p>
    <w:p>
      <w:r>
        <w:rPr>
          <w:rFonts w:ascii="宋体" w:hAnsi="宋体"/>
          <w:szCs w:val="20"/>
        </w:rPr>
        <w:br w:type="page"/>
      </w:r>
    </w:p>
    <w:p>
      <w:pPr>
        <w:pStyle w:val="3"/>
        <w:jc w:val="center"/>
        <w:rPr>
          <w:rFonts w:ascii="黑体" w:eastAsia="黑体"/>
          <w:b w:val="0"/>
          <w:sz w:val="24"/>
          <w:szCs w:val="24"/>
        </w:rPr>
      </w:pPr>
      <w:r>
        <w:rPr>
          <w:rFonts w:hint="eastAsia" w:ascii="黑体" w:eastAsia="黑体"/>
          <w:b w:val="0"/>
          <w:sz w:val="24"/>
          <w:szCs w:val="24"/>
        </w:rPr>
        <w:t>四、分项报价清单</w:t>
      </w:r>
    </w:p>
    <w:p>
      <w:pPr>
        <w:numPr>
          <w:ilvl w:val="0"/>
          <w:numId w:val="5"/>
        </w:numPr>
        <w:jc w:val="center"/>
        <w:rPr>
          <w:b/>
          <w:sz w:val="24"/>
        </w:rPr>
      </w:pPr>
      <w:r>
        <w:rPr>
          <w:rFonts w:hint="eastAsia"/>
          <w:b/>
          <w:sz w:val="24"/>
        </w:rPr>
        <w:t>项目报价表</w:t>
      </w:r>
    </w:p>
    <w:p>
      <w:pPr>
        <w:rPr>
          <w:b/>
          <w:sz w:val="24"/>
        </w:rPr>
      </w:pPr>
    </w:p>
    <w:tbl>
      <w:tblPr>
        <w:tblStyle w:val="5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79"/>
        <w:gridCol w:w="1438"/>
        <w:gridCol w:w="900"/>
        <w:gridCol w:w="720"/>
        <w:gridCol w:w="720"/>
        <w:gridCol w:w="900"/>
        <w:gridCol w:w="90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tcPr>
          <w:p>
            <w:pPr>
              <w:jc w:val="center"/>
              <w:rPr>
                <w:szCs w:val="21"/>
              </w:rPr>
            </w:pPr>
            <w:r>
              <w:rPr>
                <w:rFonts w:hint="eastAsia"/>
                <w:szCs w:val="21"/>
              </w:rPr>
              <w:t>序号</w:t>
            </w:r>
          </w:p>
        </w:tc>
        <w:tc>
          <w:tcPr>
            <w:tcW w:w="1079" w:type="dxa"/>
            <w:vAlign w:val="center"/>
          </w:tcPr>
          <w:p>
            <w:pPr>
              <w:jc w:val="center"/>
              <w:rPr>
                <w:szCs w:val="21"/>
              </w:rPr>
            </w:pPr>
            <w:r>
              <w:rPr>
                <w:rFonts w:hint="eastAsia"/>
                <w:szCs w:val="21"/>
              </w:rPr>
              <w:t>货物名称</w:t>
            </w:r>
          </w:p>
        </w:tc>
        <w:tc>
          <w:tcPr>
            <w:tcW w:w="1438" w:type="dxa"/>
            <w:vAlign w:val="center"/>
          </w:tcPr>
          <w:p>
            <w:pPr>
              <w:jc w:val="center"/>
              <w:rPr>
                <w:szCs w:val="21"/>
              </w:rPr>
            </w:pPr>
            <w:r>
              <w:rPr>
                <w:rFonts w:hint="eastAsia"/>
                <w:szCs w:val="21"/>
              </w:rPr>
              <w:t>规格及型号</w:t>
            </w:r>
          </w:p>
        </w:tc>
        <w:tc>
          <w:tcPr>
            <w:tcW w:w="900" w:type="dxa"/>
            <w:vAlign w:val="center"/>
          </w:tcPr>
          <w:p>
            <w:pPr>
              <w:jc w:val="center"/>
              <w:rPr>
                <w:b/>
                <w:color w:val="FF0000"/>
                <w:szCs w:val="21"/>
              </w:rPr>
            </w:pPr>
            <w:r>
              <w:rPr>
                <w:rFonts w:hint="eastAsia"/>
                <w:b/>
                <w:color w:val="FF0000"/>
                <w:szCs w:val="21"/>
              </w:rPr>
              <w:t>原产地</w:t>
            </w:r>
          </w:p>
        </w:tc>
        <w:tc>
          <w:tcPr>
            <w:tcW w:w="720" w:type="dxa"/>
            <w:vAlign w:val="center"/>
          </w:tcPr>
          <w:p>
            <w:pPr>
              <w:jc w:val="center"/>
              <w:rPr>
                <w:szCs w:val="21"/>
              </w:rPr>
            </w:pPr>
            <w:r>
              <w:rPr>
                <w:rFonts w:hint="eastAsia"/>
                <w:szCs w:val="21"/>
              </w:rPr>
              <w:t>品牌</w:t>
            </w:r>
          </w:p>
        </w:tc>
        <w:tc>
          <w:tcPr>
            <w:tcW w:w="720" w:type="dxa"/>
            <w:vAlign w:val="center"/>
          </w:tcPr>
          <w:p>
            <w:pPr>
              <w:jc w:val="center"/>
              <w:rPr>
                <w:szCs w:val="21"/>
              </w:rPr>
            </w:pPr>
            <w:r>
              <w:rPr>
                <w:rFonts w:hint="eastAsia"/>
                <w:szCs w:val="21"/>
              </w:rPr>
              <w:t>数量</w:t>
            </w:r>
          </w:p>
        </w:tc>
        <w:tc>
          <w:tcPr>
            <w:tcW w:w="900" w:type="dxa"/>
            <w:vAlign w:val="center"/>
          </w:tcPr>
          <w:p>
            <w:pPr>
              <w:jc w:val="center"/>
              <w:rPr>
                <w:szCs w:val="21"/>
              </w:rPr>
            </w:pPr>
            <w:r>
              <w:rPr>
                <w:rFonts w:hint="eastAsia"/>
                <w:szCs w:val="21"/>
              </w:rPr>
              <w:t>单价(元)</w:t>
            </w:r>
          </w:p>
        </w:tc>
        <w:tc>
          <w:tcPr>
            <w:tcW w:w="900" w:type="dxa"/>
            <w:vAlign w:val="center"/>
          </w:tcPr>
          <w:p>
            <w:pPr>
              <w:jc w:val="center"/>
              <w:rPr>
                <w:szCs w:val="21"/>
              </w:rPr>
            </w:pPr>
            <w:r>
              <w:rPr>
                <w:rFonts w:hint="eastAsia"/>
                <w:szCs w:val="21"/>
              </w:rPr>
              <w:t>合价(元)</w:t>
            </w:r>
          </w:p>
        </w:tc>
        <w:tc>
          <w:tcPr>
            <w:tcW w:w="1446" w:type="dxa"/>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tcPr>
          <w:p>
            <w:pPr>
              <w:rPr>
                <w:sz w:val="24"/>
              </w:rPr>
            </w:pPr>
          </w:p>
        </w:tc>
        <w:tc>
          <w:tcPr>
            <w:tcW w:w="1079" w:type="dxa"/>
          </w:tcPr>
          <w:p>
            <w:pPr>
              <w:rPr>
                <w:sz w:val="24"/>
              </w:rPr>
            </w:pPr>
          </w:p>
        </w:tc>
        <w:tc>
          <w:tcPr>
            <w:tcW w:w="1438" w:type="dxa"/>
          </w:tcPr>
          <w:p>
            <w:pPr>
              <w:rPr>
                <w:sz w:val="24"/>
              </w:rPr>
            </w:pPr>
          </w:p>
        </w:tc>
        <w:tc>
          <w:tcPr>
            <w:tcW w:w="900" w:type="dxa"/>
          </w:tcPr>
          <w:p>
            <w:pPr>
              <w:rPr>
                <w:sz w:val="24"/>
              </w:rPr>
            </w:pPr>
          </w:p>
        </w:tc>
        <w:tc>
          <w:tcPr>
            <w:tcW w:w="720" w:type="dxa"/>
          </w:tcPr>
          <w:p>
            <w:pPr>
              <w:rPr>
                <w:sz w:val="24"/>
              </w:rPr>
            </w:pPr>
          </w:p>
        </w:tc>
        <w:tc>
          <w:tcPr>
            <w:tcW w:w="720" w:type="dxa"/>
          </w:tcPr>
          <w:p>
            <w:pPr>
              <w:rPr>
                <w:sz w:val="24"/>
              </w:rPr>
            </w:pPr>
          </w:p>
        </w:tc>
        <w:tc>
          <w:tcPr>
            <w:tcW w:w="900" w:type="dxa"/>
          </w:tcPr>
          <w:p>
            <w:pPr>
              <w:rPr>
                <w:sz w:val="24"/>
              </w:rPr>
            </w:pPr>
          </w:p>
        </w:tc>
        <w:tc>
          <w:tcPr>
            <w:tcW w:w="900" w:type="dxa"/>
          </w:tcPr>
          <w:p>
            <w:pPr>
              <w:rPr>
                <w:sz w:val="24"/>
              </w:rPr>
            </w:pPr>
          </w:p>
        </w:tc>
        <w:tc>
          <w:tcPr>
            <w:tcW w:w="144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tcPr>
          <w:p>
            <w:pPr>
              <w:rPr>
                <w:sz w:val="24"/>
              </w:rPr>
            </w:pPr>
          </w:p>
        </w:tc>
        <w:tc>
          <w:tcPr>
            <w:tcW w:w="1079" w:type="dxa"/>
          </w:tcPr>
          <w:p>
            <w:pPr>
              <w:rPr>
                <w:sz w:val="24"/>
              </w:rPr>
            </w:pPr>
          </w:p>
        </w:tc>
        <w:tc>
          <w:tcPr>
            <w:tcW w:w="1438" w:type="dxa"/>
          </w:tcPr>
          <w:p>
            <w:pPr>
              <w:rPr>
                <w:sz w:val="24"/>
              </w:rPr>
            </w:pPr>
          </w:p>
        </w:tc>
        <w:tc>
          <w:tcPr>
            <w:tcW w:w="900" w:type="dxa"/>
          </w:tcPr>
          <w:p>
            <w:pPr>
              <w:rPr>
                <w:sz w:val="24"/>
              </w:rPr>
            </w:pPr>
          </w:p>
        </w:tc>
        <w:tc>
          <w:tcPr>
            <w:tcW w:w="720" w:type="dxa"/>
          </w:tcPr>
          <w:p>
            <w:pPr>
              <w:rPr>
                <w:sz w:val="24"/>
              </w:rPr>
            </w:pPr>
          </w:p>
        </w:tc>
        <w:tc>
          <w:tcPr>
            <w:tcW w:w="720" w:type="dxa"/>
          </w:tcPr>
          <w:p>
            <w:pPr>
              <w:rPr>
                <w:sz w:val="24"/>
              </w:rPr>
            </w:pPr>
          </w:p>
        </w:tc>
        <w:tc>
          <w:tcPr>
            <w:tcW w:w="900" w:type="dxa"/>
          </w:tcPr>
          <w:p>
            <w:pPr>
              <w:rPr>
                <w:sz w:val="24"/>
              </w:rPr>
            </w:pPr>
          </w:p>
        </w:tc>
        <w:tc>
          <w:tcPr>
            <w:tcW w:w="900" w:type="dxa"/>
          </w:tcPr>
          <w:p>
            <w:pPr>
              <w:rPr>
                <w:sz w:val="24"/>
              </w:rPr>
            </w:pPr>
          </w:p>
        </w:tc>
        <w:tc>
          <w:tcPr>
            <w:tcW w:w="144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tcPr>
          <w:p>
            <w:pPr>
              <w:rPr>
                <w:sz w:val="24"/>
              </w:rPr>
            </w:pPr>
          </w:p>
        </w:tc>
        <w:tc>
          <w:tcPr>
            <w:tcW w:w="1079" w:type="dxa"/>
          </w:tcPr>
          <w:p>
            <w:pPr>
              <w:rPr>
                <w:sz w:val="24"/>
              </w:rPr>
            </w:pPr>
          </w:p>
        </w:tc>
        <w:tc>
          <w:tcPr>
            <w:tcW w:w="1438" w:type="dxa"/>
          </w:tcPr>
          <w:p>
            <w:pPr>
              <w:rPr>
                <w:sz w:val="24"/>
              </w:rPr>
            </w:pPr>
          </w:p>
        </w:tc>
        <w:tc>
          <w:tcPr>
            <w:tcW w:w="900" w:type="dxa"/>
          </w:tcPr>
          <w:p>
            <w:pPr>
              <w:rPr>
                <w:sz w:val="24"/>
              </w:rPr>
            </w:pPr>
          </w:p>
        </w:tc>
        <w:tc>
          <w:tcPr>
            <w:tcW w:w="720" w:type="dxa"/>
          </w:tcPr>
          <w:p>
            <w:pPr>
              <w:rPr>
                <w:sz w:val="24"/>
              </w:rPr>
            </w:pPr>
          </w:p>
        </w:tc>
        <w:tc>
          <w:tcPr>
            <w:tcW w:w="720" w:type="dxa"/>
          </w:tcPr>
          <w:p>
            <w:pPr>
              <w:rPr>
                <w:sz w:val="24"/>
              </w:rPr>
            </w:pPr>
          </w:p>
        </w:tc>
        <w:tc>
          <w:tcPr>
            <w:tcW w:w="900" w:type="dxa"/>
          </w:tcPr>
          <w:p>
            <w:pPr>
              <w:rPr>
                <w:sz w:val="24"/>
              </w:rPr>
            </w:pPr>
          </w:p>
        </w:tc>
        <w:tc>
          <w:tcPr>
            <w:tcW w:w="900" w:type="dxa"/>
          </w:tcPr>
          <w:p>
            <w:pPr>
              <w:rPr>
                <w:sz w:val="24"/>
              </w:rPr>
            </w:pPr>
          </w:p>
        </w:tc>
        <w:tc>
          <w:tcPr>
            <w:tcW w:w="144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tcPr>
          <w:p>
            <w:pPr>
              <w:rPr>
                <w:sz w:val="24"/>
              </w:rPr>
            </w:pPr>
          </w:p>
        </w:tc>
        <w:tc>
          <w:tcPr>
            <w:tcW w:w="1079" w:type="dxa"/>
          </w:tcPr>
          <w:p>
            <w:pPr>
              <w:rPr>
                <w:sz w:val="24"/>
              </w:rPr>
            </w:pPr>
          </w:p>
        </w:tc>
        <w:tc>
          <w:tcPr>
            <w:tcW w:w="1438" w:type="dxa"/>
          </w:tcPr>
          <w:p>
            <w:pPr>
              <w:rPr>
                <w:sz w:val="24"/>
              </w:rPr>
            </w:pPr>
          </w:p>
        </w:tc>
        <w:tc>
          <w:tcPr>
            <w:tcW w:w="900" w:type="dxa"/>
          </w:tcPr>
          <w:p>
            <w:pPr>
              <w:rPr>
                <w:sz w:val="24"/>
              </w:rPr>
            </w:pPr>
          </w:p>
        </w:tc>
        <w:tc>
          <w:tcPr>
            <w:tcW w:w="720" w:type="dxa"/>
          </w:tcPr>
          <w:p>
            <w:pPr>
              <w:rPr>
                <w:sz w:val="24"/>
              </w:rPr>
            </w:pPr>
          </w:p>
        </w:tc>
        <w:tc>
          <w:tcPr>
            <w:tcW w:w="720" w:type="dxa"/>
          </w:tcPr>
          <w:p>
            <w:pPr>
              <w:rPr>
                <w:sz w:val="24"/>
              </w:rPr>
            </w:pPr>
          </w:p>
        </w:tc>
        <w:tc>
          <w:tcPr>
            <w:tcW w:w="900" w:type="dxa"/>
          </w:tcPr>
          <w:p>
            <w:pPr>
              <w:rPr>
                <w:sz w:val="24"/>
              </w:rPr>
            </w:pPr>
          </w:p>
        </w:tc>
        <w:tc>
          <w:tcPr>
            <w:tcW w:w="900" w:type="dxa"/>
          </w:tcPr>
          <w:p>
            <w:pPr>
              <w:rPr>
                <w:sz w:val="24"/>
              </w:rPr>
            </w:pPr>
          </w:p>
        </w:tc>
        <w:tc>
          <w:tcPr>
            <w:tcW w:w="144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tcPr>
          <w:p>
            <w:pPr>
              <w:rPr>
                <w:sz w:val="24"/>
              </w:rPr>
            </w:pPr>
          </w:p>
        </w:tc>
        <w:tc>
          <w:tcPr>
            <w:tcW w:w="1079" w:type="dxa"/>
          </w:tcPr>
          <w:p>
            <w:pPr>
              <w:rPr>
                <w:sz w:val="24"/>
              </w:rPr>
            </w:pPr>
          </w:p>
        </w:tc>
        <w:tc>
          <w:tcPr>
            <w:tcW w:w="1438" w:type="dxa"/>
          </w:tcPr>
          <w:p>
            <w:pPr>
              <w:rPr>
                <w:sz w:val="24"/>
              </w:rPr>
            </w:pPr>
          </w:p>
        </w:tc>
        <w:tc>
          <w:tcPr>
            <w:tcW w:w="900" w:type="dxa"/>
          </w:tcPr>
          <w:p>
            <w:pPr>
              <w:rPr>
                <w:sz w:val="24"/>
              </w:rPr>
            </w:pPr>
          </w:p>
        </w:tc>
        <w:tc>
          <w:tcPr>
            <w:tcW w:w="720" w:type="dxa"/>
          </w:tcPr>
          <w:p>
            <w:pPr>
              <w:rPr>
                <w:sz w:val="24"/>
              </w:rPr>
            </w:pPr>
          </w:p>
        </w:tc>
        <w:tc>
          <w:tcPr>
            <w:tcW w:w="720" w:type="dxa"/>
          </w:tcPr>
          <w:p>
            <w:pPr>
              <w:rPr>
                <w:sz w:val="24"/>
              </w:rPr>
            </w:pPr>
          </w:p>
        </w:tc>
        <w:tc>
          <w:tcPr>
            <w:tcW w:w="900" w:type="dxa"/>
          </w:tcPr>
          <w:p>
            <w:pPr>
              <w:rPr>
                <w:sz w:val="24"/>
              </w:rPr>
            </w:pPr>
          </w:p>
        </w:tc>
        <w:tc>
          <w:tcPr>
            <w:tcW w:w="900" w:type="dxa"/>
          </w:tcPr>
          <w:p>
            <w:pPr>
              <w:rPr>
                <w:sz w:val="24"/>
              </w:rPr>
            </w:pPr>
          </w:p>
        </w:tc>
        <w:tc>
          <w:tcPr>
            <w:tcW w:w="144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tcPr>
          <w:p>
            <w:pPr>
              <w:rPr>
                <w:sz w:val="24"/>
              </w:rPr>
            </w:pPr>
          </w:p>
        </w:tc>
        <w:tc>
          <w:tcPr>
            <w:tcW w:w="1079" w:type="dxa"/>
          </w:tcPr>
          <w:p>
            <w:pPr>
              <w:rPr>
                <w:sz w:val="24"/>
              </w:rPr>
            </w:pPr>
          </w:p>
        </w:tc>
        <w:tc>
          <w:tcPr>
            <w:tcW w:w="1438" w:type="dxa"/>
          </w:tcPr>
          <w:p>
            <w:pPr>
              <w:rPr>
                <w:sz w:val="24"/>
              </w:rPr>
            </w:pPr>
          </w:p>
        </w:tc>
        <w:tc>
          <w:tcPr>
            <w:tcW w:w="900" w:type="dxa"/>
          </w:tcPr>
          <w:p>
            <w:pPr>
              <w:rPr>
                <w:sz w:val="24"/>
              </w:rPr>
            </w:pPr>
          </w:p>
        </w:tc>
        <w:tc>
          <w:tcPr>
            <w:tcW w:w="720" w:type="dxa"/>
          </w:tcPr>
          <w:p>
            <w:pPr>
              <w:rPr>
                <w:sz w:val="24"/>
              </w:rPr>
            </w:pPr>
          </w:p>
        </w:tc>
        <w:tc>
          <w:tcPr>
            <w:tcW w:w="720" w:type="dxa"/>
          </w:tcPr>
          <w:p>
            <w:pPr>
              <w:rPr>
                <w:sz w:val="24"/>
              </w:rPr>
            </w:pPr>
          </w:p>
        </w:tc>
        <w:tc>
          <w:tcPr>
            <w:tcW w:w="900" w:type="dxa"/>
          </w:tcPr>
          <w:p>
            <w:pPr>
              <w:rPr>
                <w:sz w:val="24"/>
              </w:rPr>
            </w:pPr>
          </w:p>
        </w:tc>
        <w:tc>
          <w:tcPr>
            <w:tcW w:w="900" w:type="dxa"/>
          </w:tcPr>
          <w:p>
            <w:pPr>
              <w:rPr>
                <w:sz w:val="24"/>
              </w:rPr>
            </w:pPr>
          </w:p>
        </w:tc>
        <w:tc>
          <w:tcPr>
            <w:tcW w:w="1446"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gridSpan w:val="9"/>
          </w:tcPr>
          <w:p>
            <w:pPr>
              <w:rPr>
                <w:sz w:val="24"/>
              </w:rPr>
            </w:pPr>
            <w:r>
              <w:rPr>
                <w:rFonts w:hint="eastAsia"/>
                <w:sz w:val="24"/>
              </w:rPr>
              <w:t>合计（即：投标总价；币种：人民币；单位：元）：大写：</w:t>
            </w:r>
          </w:p>
        </w:tc>
      </w:tr>
    </w:tbl>
    <w:p>
      <w:pPr>
        <w:rPr>
          <w:rFonts w:ascii="宋体" w:hAnsi="宋体"/>
          <w:szCs w:val="21"/>
        </w:rPr>
      </w:pPr>
    </w:p>
    <w:p>
      <w:pPr>
        <w:rPr>
          <w:rFonts w:ascii="宋体" w:hAnsi="宋体"/>
          <w:szCs w:val="21"/>
        </w:rPr>
      </w:pPr>
      <w:r>
        <w:rPr>
          <w:rFonts w:hint="eastAsia" w:ascii="宋体" w:hAnsi="宋体"/>
          <w:szCs w:val="21"/>
        </w:rPr>
        <w:t>投标</w:t>
      </w:r>
      <w:r>
        <w:rPr>
          <w:rFonts w:ascii="宋体" w:hAnsi="宋体"/>
          <w:szCs w:val="21"/>
        </w:rPr>
        <w:t>人</w:t>
      </w:r>
      <w:r>
        <w:rPr>
          <w:rFonts w:hint="eastAsia" w:ascii="宋体" w:hAnsi="宋体"/>
          <w:szCs w:val="21"/>
        </w:rPr>
        <w:t>名称：</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（公章）</w:t>
      </w:r>
    </w:p>
    <w:p>
      <w:pPr>
        <w:rPr>
          <w:rFonts w:ascii="宋体" w:hAnsi="宋体"/>
          <w:szCs w:val="21"/>
        </w:rPr>
      </w:pPr>
    </w:p>
    <w:p>
      <w:pPr>
        <w:rPr>
          <w:rFonts w:ascii="宋体" w:hAnsi="宋体"/>
          <w:szCs w:val="21"/>
        </w:rPr>
      </w:pPr>
    </w:p>
    <w:p>
      <w:pPr>
        <w:rPr>
          <w:rFonts w:ascii="宋体" w:hAnsi="宋体"/>
          <w:szCs w:val="21"/>
          <w:u w:val="single"/>
        </w:rPr>
      </w:pPr>
      <w:r>
        <w:rPr>
          <w:rFonts w:hint="eastAsia" w:ascii="宋体" w:hAnsi="宋体"/>
          <w:szCs w:val="21"/>
        </w:rPr>
        <w:t>投标人代表：</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（签名</w:t>
      </w:r>
      <w:r>
        <w:rPr>
          <w:rFonts w:ascii="宋体" w:hAnsi="宋体"/>
          <w:szCs w:val="21"/>
        </w:rPr>
        <w:t>或签章</w:t>
      </w:r>
      <w:r>
        <w:rPr>
          <w:rFonts w:hint="eastAsia" w:ascii="宋体" w:hAnsi="宋体"/>
          <w:szCs w:val="21"/>
        </w:rPr>
        <w:t>）</w:t>
      </w:r>
    </w:p>
    <w:p>
      <w:pPr>
        <w:rPr>
          <w:rFonts w:ascii="宋体" w:hAnsi="宋体"/>
          <w:szCs w:val="21"/>
          <w:u w:val="single"/>
        </w:rPr>
      </w:pPr>
    </w:p>
    <w:p>
      <w:pPr>
        <w:rPr>
          <w:rFonts w:ascii="宋体" w:hAnsi="宋体"/>
          <w:b/>
          <w:color w:val="FF0000"/>
          <w:sz w:val="24"/>
        </w:rPr>
      </w:pPr>
      <w:r>
        <w:rPr>
          <w:rFonts w:hint="eastAsia" w:ascii="宋体" w:hAnsi="宋体"/>
          <w:b/>
          <w:color w:val="FF0000"/>
          <w:sz w:val="24"/>
        </w:rPr>
        <w:t>注：1.所有价格应按“招标文件”中规定的货币单位填写；</w:t>
      </w:r>
    </w:p>
    <w:p>
      <w:pPr>
        <w:rPr>
          <w:rFonts w:ascii="宋体" w:hAnsi="宋体"/>
          <w:b/>
          <w:color w:val="FF0000"/>
          <w:sz w:val="24"/>
        </w:rPr>
      </w:pPr>
      <w:r>
        <w:rPr>
          <w:rFonts w:hint="eastAsia" w:ascii="宋体" w:hAnsi="宋体"/>
          <w:b/>
          <w:color w:val="FF0000"/>
          <w:sz w:val="24"/>
        </w:rPr>
        <w:t>2.投标人应按货物明细清单要求的货物逐项报价，如有缺漏项，可视为没有实质性响应招标文件。分项价格可为零；</w:t>
      </w:r>
    </w:p>
    <w:p>
      <w:pPr>
        <w:rPr>
          <w:rFonts w:ascii="宋体" w:hAnsi="宋体"/>
          <w:b/>
          <w:color w:val="FF0000"/>
          <w:sz w:val="24"/>
        </w:rPr>
      </w:pPr>
      <w:r>
        <w:rPr>
          <w:rFonts w:hint="eastAsia" w:ascii="宋体" w:hAnsi="宋体"/>
          <w:b/>
          <w:color w:val="FF0000"/>
          <w:sz w:val="24"/>
        </w:rPr>
        <w:t xml:space="preserve">    3.投标总价应为以上各分项价格之和；</w:t>
      </w:r>
    </w:p>
    <w:p>
      <w:pPr>
        <w:rPr>
          <w:rFonts w:ascii="宋体" w:hAnsi="宋体"/>
          <w:b/>
          <w:color w:val="FF0000"/>
          <w:sz w:val="24"/>
        </w:rPr>
      </w:pPr>
      <w:r>
        <w:rPr>
          <w:rFonts w:hint="eastAsia" w:ascii="宋体" w:hAnsi="宋体"/>
          <w:b/>
          <w:color w:val="FF0000"/>
          <w:sz w:val="24"/>
        </w:rPr>
        <w:t>4.本表格式不得修改；</w:t>
      </w:r>
    </w:p>
    <w:p>
      <w:pPr>
        <w:rPr>
          <w:rFonts w:ascii="宋体" w:hAnsi="宋体"/>
          <w:b/>
          <w:color w:val="FF0000"/>
          <w:sz w:val="24"/>
        </w:rPr>
      </w:pPr>
      <w:r>
        <w:rPr>
          <w:rFonts w:hint="eastAsia" w:ascii="宋体" w:hAnsi="宋体"/>
          <w:b/>
          <w:color w:val="FF0000"/>
          <w:sz w:val="24"/>
        </w:rPr>
        <w:t>5.单价、合价和投标总价为包干价，即三者均应包含设备的价款、包装、运输、装卸、安装、调试、技术指导、培训、咨询、服务、保险、税费、检测、验收合格交付使用之前以及技术和售后服务等其他各项有关费用。</w:t>
      </w:r>
    </w:p>
    <w:p>
      <w:pPr>
        <w:rPr>
          <w:rFonts w:ascii="宋体" w:hAnsi="宋体"/>
          <w:b/>
          <w:color w:val="FF0000"/>
          <w:sz w:val="24"/>
        </w:rPr>
      </w:pPr>
      <w:r>
        <w:rPr>
          <w:rFonts w:hint="eastAsia" w:ascii="宋体" w:hAnsi="宋体"/>
          <w:b/>
          <w:color w:val="FF0000"/>
          <w:sz w:val="24"/>
        </w:rPr>
        <w:t>6.投标总价和项目报价表中单个采购预算条目报价均不得超过对应的财政预算限额，否则将导致废标。</w:t>
      </w:r>
    </w:p>
    <w:p>
      <w:pPr>
        <w:rPr>
          <w:rFonts w:ascii="宋体" w:hAnsi="宋体"/>
          <w:b/>
          <w:color w:val="FF0000"/>
          <w:sz w:val="24"/>
        </w:rPr>
      </w:pPr>
      <w:r>
        <w:rPr>
          <w:rFonts w:hint="eastAsia" w:ascii="宋体" w:hAnsi="宋体"/>
          <w:b/>
          <w:color w:val="FF0000"/>
          <w:sz w:val="24"/>
        </w:rPr>
        <w:t>7.开标一览表的投标总价必须与项目报价表的投标总价一致。</w:t>
      </w:r>
    </w:p>
    <w:p>
      <w:pPr>
        <w:rPr>
          <w:rFonts w:ascii="宋体" w:hAnsi="宋体"/>
          <w:b/>
          <w:color w:val="FF0000"/>
          <w:sz w:val="24"/>
        </w:rPr>
      </w:pPr>
      <w:r>
        <w:rPr>
          <w:rFonts w:hint="eastAsia" w:ascii="宋体" w:hAnsi="宋体"/>
          <w:b/>
          <w:color w:val="FF0000"/>
          <w:sz w:val="24"/>
        </w:rPr>
        <w:t>8.“原产地”是指该产品的实际生产加工地，而非品牌总公司所在地。</w:t>
      </w:r>
    </w:p>
    <w:p>
      <w:pPr>
        <w:ind w:firstLine="482" w:firstLineChars="200"/>
        <w:jc w:val="center"/>
        <w:rPr>
          <w:rFonts w:hAnsi="宋体"/>
          <w:b/>
          <w:bCs/>
          <w:sz w:val="24"/>
        </w:rPr>
      </w:pPr>
    </w:p>
    <w:p>
      <w:pPr>
        <w:ind w:firstLine="482" w:firstLineChars="200"/>
        <w:jc w:val="center"/>
        <w:rPr>
          <w:rFonts w:hAnsi="宋体"/>
          <w:b/>
          <w:bCs/>
          <w:sz w:val="24"/>
        </w:rPr>
      </w:pPr>
      <w:r>
        <w:rPr>
          <w:rFonts w:hint="eastAsia" w:hAnsi="宋体"/>
          <w:b/>
          <w:bCs/>
          <w:sz w:val="24"/>
        </w:rPr>
        <w:t>（二）可选配件报价清单（不包括在总报价内）</w:t>
      </w:r>
    </w:p>
    <w:p>
      <w:pPr>
        <w:ind w:firstLine="422" w:firstLineChars="200"/>
        <w:rPr>
          <w:rFonts w:hAnsi="宋体"/>
          <w:b/>
          <w:bCs/>
          <w:szCs w:val="21"/>
        </w:rPr>
      </w:pPr>
      <w:r>
        <w:rPr>
          <w:rFonts w:hint="eastAsia" w:hAnsi="宋体"/>
          <w:b/>
          <w:bCs/>
          <w:szCs w:val="21"/>
        </w:rPr>
        <w:t>注：格式参照《（一）项目报价表》表格，但须提供相应的品牌、规格型号、原产地、单价等详细信息</w:t>
      </w:r>
    </w:p>
    <w:p>
      <w:pPr>
        <w:ind w:firstLine="482" w:firstLineChars="200"/>
        <w:rPr>
          <w:rFonts w:hAnsi="宋体"/>
          <w:b/>
          <w:bCs/>
          <w:sz w:val="24"/>
        </w:rPr>
      </w:pPr>
    </w:p>
    <w:p>
      <w:pPr>
        <w:ind w:firstLine="482" w:firstLineChars="200"/>
        <w:jc w:val="center"/>
        <w:rPr>
          <w:rFonts w:hAnsi="宋体"/>
          <w:b/>
          <w:bCs/>
          <w:sz w:val="24"/>
        </w:rPr>
      </w:pPr>
      <w:r>
        <w:rPr>
          <w:rFonts w:hAnsi="宋体"/>
          <w:b/>
          <w:bCs/>
          <w:sz w:val="24"/>
        </w:rPr>
        <w:br w:type="page"/>
      </w:r>
    </w:p>
    <w:p>
      <w:pPr>
        <w:pStyle w:val="3"/>
        <w:jc w:val="center"/>
        <w:rPr>
          <w:rFonts w:ascii="黑体" w:eastAsia="黑体"/>
          <w:b w:val="0"/>
          <w:sz w:val="24"/>
          <w:szCs w:val="24"/>
        </w:rPr>
      </w:pPr>
      <w:r>
        <w:rPr>
          <w:rFonts w:hint="eastAsia" w:ascii="黑体" w:eastAsia="黑体"/>
          <w:b w:val="0"/>
          <w:sz w:val="24"/>
          <w:szCs w:val="24"/>
        </w:rPr>
        <w:t>五、投标人资格证明文件</w:t>
      </w:r>
    </w:p>
    <w:p>
      <w:pPr>
        <w:spacing w:before="120" w:beforeLines="50"/>
        <w:rPr>
          <w:b/>
          <w:bCs/>
          <w:color w:val="FF0000"/>
        </w:rPr>
      </w:pPr>
      <w:r>
        <w:rPr>
          <w:rFonts w:hint="eastAsia"/>
          <w:b/>
          <w:bCs/>
          <w:color w:val="FF0000"/>
        </w:rPr>
        <w:t>（特别提示：投标人须按本招标文件第一章招标公告第四条“投标人资格要求”提供相关的资格证明，未提供或提供不完整、不符合要求的，投标文件将按废标处理。）</w:t>
      </w:r>
    </w:p>
    <w:p>
      <w:pPr>
        <w:rPr>
          <w:b/>
          <w:bCs/>
          <w:sz w:val="24"/>
        </w:rPr>
      </w:pPr>
    </w:p>
    <w:p>
      <w:pPr>
        <w:pStyle w:val="3"/>
        <w:jc w:val="center"/>
        <w:rPr>
          <w:rFonts w:ascii="黑体" w:eastAsia="黑体"/>
          <w:b w:val="0"/>
          <w:sz w:val="24"/>
          <w:szCs w:val="24"/>
        </w:rPr>
      </w:pPr>
      <w:r>
        <w:rPr>
          <w:rFonts w:hint="eastAsia" w:ascii="黑体" w:eastAsia="黑体"/>
          <w:b w:val="0"/>
          <w:sz w:val="24"/>
          <w:szCs w:val="24"/>
        </w:rPr>
        <w:t>六、技术保障措施</w:t>
      </w:r>
    </w:p>
    <w:p>
      <w:pPr>
        <w:spacing w:before="120" w:beforeLines="50"/>
        <w:rPr>
          <w:b/>
          <w:bCs/>
          <w:color w:val="FF0000"/>
        </w:rPr>
      </w:pPr>
      <w:r>
        <w:rPr>
          <w:rFonts w:hint="eastAsia"/>
          <w:b/>
          <w:bCs/>
          <w:color w:val="FF0000"/>
        </w:rPr>
        <w:t>（特别提示：投标人须按本招标文件“评标信息”中“技术保障措施”的要求提供相关的证明资料。）</w:t>
      </w:r>
    </w:p>
    <w:p>
      <w:pPr>
        <w:rPr>
          <w:b/>
          <w:bCs/>
          <w:sz w:val="24"/>
        </w:rPr>
      </w:pPr>
    </w:p>
    <w:p>
      <w:pPr>
        <w:rPr>
          <w:b/>
          <w:bCs/>
          <w:sz w:val="24"/>
        </w:rPr>
      </w:pPr>
    </w:p>
    <w:p>
      <w:pPr>
        <w:pStyle w:val="3"/>
        <w:jc w:val="center"/>
        <w:rPr>
          <w:rFonts w:ascii="黑体" w:eastAsia="黑体"/>
          <w:b w:val="0"/>
          <w:sz w:val="24"/>
          <w:szCs w:val="24"/>
        </w:rPr>
      </w:pPr>
      <w:r>
        <w:rPr>
          <w:rFonts w:hint="eastAsia" w:ascii="黑体" w:eastAsia="黑体"/>
          <w:b w:val="0"/>
          <w:sz w:val="24"/>
          <w:szCs w:val="24"/>
        </w:rPr>
        <w:t>七、</w:t>
      </w:r>
      <w:r>
        <w:rPr>
          <w:rFonts w:ascii="黑体" w:eastAsia="黑体"/>
          <w:b w:val="0"/>
          <w:sz w:val="24"/>
          <w:szCs w:val="24"/>
        </w:rPr>
        <w:t>投标人认为需要提供的其他证明材料</w:t>
      </w:r>
    </w:p>
    <w:p>
      <w:pPr>
        <w:rPr>
          <w:b/>
          <w:bCs/>
          <w:sz w:val="24"/>
        </w:rPr>
      </w:pPr>
    </w:p>
    <w:p>
      <w:pPr>
        <w:rPr>
          <w:b/>
          <w:bCs/>
          <w:color w:val="FF0000"/>
          <w:sz w:val="24"/>
        </w:rPr>
      </w:pPr>
      <w:r>
        <w:rPr>
          <w:rFonts w:hint="eastAsia"/>
          <w:b/>
          <w:bCs/>
          <w:color w:val="FF0000"/>
          <w:sz w:val="24"/>
        </w:rPr>
        <w:t>提供招标公告和评标信息中关于投标人的其他相关证明文件（如评标信息中涉及的各种证件（身份证除外）、设备发票等，未涉及的可以不提供）</w:t>
      </w:r>
    </w:p>
    <w:p>
      <w:pPr>
        <w:rPr>
          <w:b/>
          <w:bCs/>
        </w:rPr>
      </w:pPr>
    </w:p>
    <w:p>
      <w:pPr>
        <w:pStyle w:val="3"/>
        <w:jc w:val="center"/>
        <w:rPr>
          <w:b w:val="0"/>
          <w:sz w:val="24"/>
          <w:szCs w:val="24"/>
        </w:rPr>
      </w:pPr>
      <w:r>
        <w:rPr>
          <w:rFonts w:hint="eastAsia" w:ascii="黑体" w:eastAsia="黑体"/>
          <w:b w:val="0"/>
          <w:sz w:val="24"/>
          <w:szCs w:val="24"/>
        </w:rPr>
        <w:t>八、技术</w:t>
      </w:r>
      <w:r>
        <w:rPr>
          <w:rFonts w:ascii="黑体" w:eastAsia="黑体"/>
          <w:b w:val="0"/>
          <w:sz w:val="24"/>
          <w:szCs w:val="24"/>
        </w:rPr>
        <w:t>规格证明文件</w:t>
      </w:r>
    </w:p>
    <w:p>
      <w:pPr>
        <w:rPr>
          <w:sz w:val="24"/>
        </w:rPr>
      </w:pPr>
      <w:r>
        <w:rPr>
          <w:rFonts w:hint="eastAsia"/>
          <w:b/>
          <w:bCs/>
          <w:color w:val="FF0000"/>
        </w:rPr>
        <w:t>（特别提示：投标人须按本招标文件“第一章、 三</w:t>
      </w:r>
      <w:r>
        <w:rPr>
          <w:b/>
          <w:bCs/>
          <w:color w:val="FF0000"/>
        </w:rPr>
        <w:t>、具体技术要求</w:t>
      </w:r>
      <w:r>
        <w:rPr>
          <w:rFonts w:hint="eastAsia"/>
          <w:b/>
          <w:bCs/>
          <w:color w:val="FF0000"/>
        </w:rPr>
        <w:t>”中</w:t>
      </w:r>
      <w:r>
        <w:rPr>
          <w:b/>
          <w:bCs/>
          <w:color w:val="FF0000"/>
        </w:rPr>
        <w:t>的要求</w:t>
      </w:r>
      <w:r>
        <w:rPr>
          <w:rFonts w:hint="eastAsia"/>
          <w:b/>
          <w:bCs/>
          <w:color w:val="FF0000"/>
        </w:rPr>
        <w:t>提供相关的证明文件。）</w:t>
      </w:r>
    </w:p>
    <w:p>
      <w:pPr>
        <w:outlineLvl w:val="3"/>
        <w:rPr>
          <w:b/>
          <w:bCs/>
          <w:sz w:val="24"/>
        </w:rPr>
      </w:pPr>
      <w:r>
        <w:rPr>
          <w:rFonts w:hint="eastAsia"/>
          <w:b/>
          <w:bCs/>
          <w:sz w:val="24"/>
        </w:rPr>
        <w:t>（一）技术规格证明文件清单</w:t>
      </w:r>
    </w:p>
    <w:tbl>
      <w:tblPr>
        <w:tblStyle w:val="54"/>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10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rPr>
                <w:sz w:val="24"/>
              </w:rPr>
            </w:pPr>
            <w:r>
              <w:rPr>
                <w:rFonts w:hint="eastAsia"/>
                <w:sz w:val="24"/>
              </w:rPr>
              <w:t>序号</w:t>
            </w:r>
          </w:p>
        </w:tc>
        <w:tc>
          <w:tcPr>
            <w:tcW w:w="5103" w:type="dxa"/>
          </w:tcPr>
          <w:p>
            <w:pPr>
              <w:jc w:val="center"/>
              <w:rPr>
                <w:sz w:val="24"/>
              </w:rPr>
            </w:pPr>
            <w:r>
              <w:rPr>
                <w:rFonts w:hint="eastAsia"/>
                <w:sz w:val="24"/>
              </w:rPr>
              <w:t>技术规格证明</w:t>
            </w:r>
            <w:r>
              <w:rPr>
                <w:sz w:val="24"/>
              </w:rPr>
              <w:t>文件名称</w:t>
            </w:r>
          </w:p>
        </w:tc>
        <w:tc>
          <w:tcPr>
            <w:tcW w:w="2126" w:type="dxa"/>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rPr>
                <w:sz w:val="24"/>
              </w:rPr>
            </w:pPr>
            <w:r>
              <w:rPr>
                <w:rFonts w:hint="eastAsia"/>
                <w:sz w:val="24"/>
              </w:rPr>
              <w:t>1</w:t>
            </w:r>
          </w:p>
        </w:tc>
        <w:tc>
          <w:tcPr>
            <w:tcW w:w="5103" w:type="dxa"/>
          </w:tcPr>
          <w:p>
            <w:pPr>
              <w:jc w:val="center"/>
              <w:rPr>
                <w:sz w:val="24"/>
              </w:rPr>
            </w:pPr>
          </w:p>
        </w:tc>
        <w:tc>
          <w:tcPr>
            <w:tcW w:w="212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rPr>
                <w:sz w:val="24"/>
              </w:rPr>
            </w:pPr>
            <w:r>
              <w:rPr>
                <w:rFonts w:hint="eastAsia"/>
                <w:sz w:val="24"/>
              </w:rPr>
              <w:t>2</w:t>
            </w:r>
          </w:p>
        </w:tc>
        <w:tc>
          <w:tcPr>
            <w:tcW w:w="5103" w:type="dxa"/>
          </w:tcPr>
          <w:p>
            <w:pPr>
              <w:jc w:val="center"/>
              <w:rPr>
                <w:sz w:val="24"/>
              </w:rPr>
            </w:pPr>
          </w:p>
        </w:tc>
        <w:tc>
          <w:tcPr>
            <w:tcW w:w="212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rPr>
                <w:sz w:val="24"/>
              </w:rPr>
            </w:pPr>
            <w:r>
              <w:rPr>
                <w:rFonts w:hint="eastAsia"/>
                <w:sz w:val="24"/>
              </w:rPr>
              <w:t>3</w:t>
            </w:r>
          </w:p>
        </w:tc>
        <w:tc>
          <w:tcPr>
            <w:tcW w:w="5103" w:type="dxa"/>
          </w:tcPr>
          <w:p>
            <w:pPr>
              <w:jc w:val="center"/>
              <w:rPr>
                <w:sz w:val="24"/>
              </w:rPr>
            </w:pPr>
          </w:p>
        </w:tc>
        <w:tc>
          <w:tcPr>
            <w:tcW w:w="2126"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jc w:val="center"/>
              <w:rPr>
                <w:sz w:val="24"/>
              </w:rPr>
            </w:pPr>
          </w:p>
        </w:tc>
        <w:tc>
          <w:tcPr>
            <w:tcW w:w="5103" w:type="dxa"/>
          </w:tcPr>
          <w:p>
            <w:pPr>
              <w:jc w:val="center"/>
              <w:rPr>
                <w:sz w:val="24"/>
              </w:rPr>
            </w:pPr>
          </w:p>
        </w:tc>
        <w:tc>
          <w:tcPr>
            <w:tcW w:w="2126" w:type="dxa"/>
          </w:tcPr>
          <w:p>
            <w:pPr>
              <w:jc w:val="center"/>
              <w:rPr>
                <w:sz w:val="24"/>
              </w:rPr>
            </w:pPr>
          </w:p>
        </w:tc>
      </w:tr>
    </w:tbl>
    <w:p>
      <w:pPr>
        <w:rPr>
          <w:sz w:val="24"/>
        </w:rPr>
      </w:pPr>
    </w:p>
    <w:p>
      <w:pPr>
        <w:outlineLvl w:val="3"/>
        <w:rPr>
          <w:b/>
          <w:bCs/>
          <w:sz w:val="24"/>
        </w:rPr>
      </w:pPr>
      <w:r>
        <w:rPr>
          <w:rFonts w:hint="eastAsia"/>
          <w:b/>
          <w:bCs/>
          <w:sz w:val="24"/>
        </w:rPr>
        <w:t>（二）技术规格证明文件</w:t>
      </w:r>
    </w:p>
    <w:p>
      <w:pPr>
        <w:rPr>
          <w:sz w:val="24"/>
        </w:rPr>
      </w:pPr>
    </w:p>
    <w:p>
      <w:pPr>
        <w:rPr>
          <w:sz w:val="24"/>
        </w:rPr>
      </w:pPr>
    </w:p>
    <w:p>
      <w:pPr>
        <w:pStyle w:val="3"/>
        <w:jc w:val="center"/>
        <w:rPr>
          <w:rFonts w:ascii="黑体" w:eastAsia="黑体"/>
          <w:b w:val="0"/>
          <w:sz w:val="24"/>
          <w:szCs w:val="24"/>
        </w:rPr>
      </w:pPr>
      <w:r>
        <w:rPr>
          <w:rFonts w:hint="eastAsia" w:ascii="黑体" w:eastAsia="黑体"/>
          <w:b w:val="0"/>
          <w:sz w:val="24"/>
          <w:szCs w:val="24"/>
        </w:rPr>
        <w:t>九、技术规格偏离表</w:t>
      </w:r>
    </w:p>
    <w:p>
      <w:pPr>
        <w:rPr>
          <w:sz w:val="24"/>
        </w:rPr>
      </w:pPr>
    </w:p>
    <w:p>
      <w:pPr>
        <w:rPr>
          <w:sz w:val="24"/>
        </w:rPr>
      </w:pPr>
      <w:r>
        <w:rPr>
          <w:rFonts w:hint="eastAsia"/>
          <w:sz w:val="24"/>
        </w:rPr>
        <w:t>投标人名称</w:t>
      </w:r>
      <w:r>
        <w:rPr>
          <w:rFonts w:hint="eastAsia"/>
          <w:sz w:val="24"/>
          <w:u w:val="single"/>
        </w:rPr>
        <w:t xml:space="preserve">                          </w:t>
      </w:r>
      <w:r>
        <w:rPr>
          <w:rFonts w:hint="eastAsia"/>
          <w:sz w:val="24"/>
        </w:rPr>
        <w:t xml:space="preserve"> 项目编号/包号</w:t>
      </w:r>
      <w:r>
        <w:rPr>
          <w:rFonts w:hint="eastAsia"/>
          <w:sz w:val="24"/>
          <w:u w:val="single"/>
        </w:rPr>
        <w:t xml:space="preserve">                   </w:t>
      </w:r>
    </w:p>
    <w:p>
      <w:pPr>
        <w:rPr>
          <w:sz w:val="24"/>
        </w:rPr>
      </w:pPr>
    </w:p>
    <w:tbl>
      <w:tblPr>
        <w:tblStyle w:val="54"/>
        <w:tblW w:w="10026" w:type="dxa"/>
        <w:tblInd w:w="-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110"/>
        <w:gridCol w:w="2976"/>
        <w:gridCol w:w="1715"/>
        <w:gridCol w:w="171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95" w:type="dxa"/>
            <w:vAlign w:val="center"/>
          </w:tcPr>
          <w:p>
            <w:pPr>
              <w:jc w:val="center"/>
              <w:rPr>
                <w:b/>
                <w:bCs/>
                <w:szCs w:val="21"/>
              </w:rPr>
            </w:pPr>
            <w:r>
              <w:rPr>
                <w:b/>
                <w:bCs/>
                <w:szCs w:val="21"/>
              </w:rPr>
              <w:t>序号</w:t>
            </w:r>
          </w:p>
        </w:tc>
        <w:tc>
          <w:tcPr>
            <w:tcW w:w="1110" w:type="dxa"/>
            <w:vAlign w:val="center"/>
          </w:tcPr>
          <w:p>
            <w:pPr>
              <w:jc w:val="center"/>
              <w:rPr>
                <w:b/>
                <w:bCs/>
                <w:szCs w:val="21"/>
              </w:rPr>
            </w:pPr>
            <w:r>
              <w:rPr>
                <w:b/>
                <w:bCs/>
                <w:szCs w:val="21"/>
              </w:rPr>
              <w:t>货物名称</w:t>
            </w:r>
          </w:p>
        </w:tc>
        <w:tc>
          <w:tcPr>
            <w:tcW w:w="2976" w:type="dxa"/>
            <w:vAlign w:val="center"/>
          </w:tcPr>
          <w:p>
            <w:pPr>
              <w:spacing w:line="360" w:lineRule="exact"/>
              <w:jc w:val="center"/>
              <w:rPr>
                <w:b/>
                <w:bCs/>
                <w:szCs w:val="21"/>
              </w:rPr>
            </w:pPr>
            <w:r>
              <w:rPr>
                <w:b/>
                <w:bCs/>
                <w:szCs w:val="21"/>
              </w:rPr>
              <w:t>技术参数要求</w:t>
            </w:r>
          </w:p>
        </w:tc>
        <w:tc>
          <w:tcPr>
            <w:tcW w:w="1715" w:type="dxa"/>
          </w:tcPr>
          <w:p>
            <w:pPr>
              <w:spacing w:line="360" w:lineRule="exact"/>
              <w:jc w:val="center"/>
              <w:rPr>
                <w:b/>
                <w:bCs/>
                <w:szCs w:val="21"/>
              </w:rPr>
            </w:pPr>
            <w:r>
              <w:rPr>
                <w:rFonts w:hint="eastAsia"/>
                <w:b/>
                <w:bCs/>
              </w:rPr>
              <w:t>投标技术响应</w:t>
            </w:r>
          </w:p>
        </w:tc>
        <w:tc>
          <w:tcPr>
            <w:tcW w:w="1715" w:type="dxa"/>
          </w:tcPr>
          <w:p>
            <w:pPr>
              <w:spacing w:line="360" w:lineRule="exact"/>
              <w:jc w:val="center"/>
              <w:rPr>
                <w:b/>
                <w:bCs/>
                <w:szCs w:val="21"/>
              </w:rPr>
            </w:pPr>
            <w:r>
              <w:rPr>
                <w:rFonts w:hint="eastAsia"/>
                <w:b/>
                <w:bCs/>
              </w:rPr>
              <w:t>偏离情况</w:t>
            </w:r>
          </w:p>
        </w:tc>
        <w:tc>
          <w:tcPr>
            <w:tcW w:w="1715" w:type="dxa"/>
          </w:tcPr>
          <w:p>
            <w:pPr>
              <w:spacing w:line="360" w:lineRule="exact"/>
              <w:jc w:val="center"/>
              <w:rPr>
                <w:b/>
                <w:bCs/>
                <w:szCs w:val="21"/>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95" w:type="dxa"/>
            <w:vMerge w:val="restart"/>
            <w:shd w:val="clear" w:color="auto" w:fill="auto"/>
            <w:vAlign w:val="center"/>
          </w:tcPr>
          <w:p>
            <w:pPr>
              <w:jc w:val="center"/>
              <w:rPr>
                <w:b/>
                <w:szCs w:val="21"/>
              </w:rPr>
            </w:pPr>
            <w:r>
              <w:rPr>
                <w:rFonts w:hint="eastAsia"/>
                <w:b/>
                <w:szCs w:val="21"/>
              </w:rPr>
              <w:t>1</w:t>
            </w:r>
          </w:p>
        </w:tc>
        <w:tc>
          <w:tcPr>
            <w:tcW w:w="1110" w:type="dxa"/>
            <w:vMerge w:val="restart"/>
            <w:shd w:val="clear" w:color="auto" w:fill="auto"/>
            <w:vAlign w:val="center"/>
          </w:tcPr>
          <w:p>
            <w:pPr>
              <w:jc w:val="center"/>
              <w:rPr>
                <w:rFonts w:ascii="宋体" w:hAnsi="宋体"/>
                <w:szCs w:val="21"/>
              </w:rPr>
            </w:pPr>
            <w:r>
              <w:rPr>
                <w:rFonts w:hint="eastAsia" w:ascii="宋体" w:hAnsi="宋体"/>
                <w:szCs w:val="21"/>
              </w:rPr>
              <w:t>护理床头屏设备</w:t>
            </w: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1、主体材质：窄边框设计，支持医院消毒级清洁</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2、安装方式：病房设备带镶嵌式安装</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Cs w:val="21"/>
                <w:lang w:bidi="ar"/>
              </w:rPr>
              <w:t>3、屏幕规格：</w:t>
            </w:r>
            <w:r>
              <w:rPr>
                <w:rFonts w:hint="eastAsia" w:ascii="宋体" w:hAnsi="宋体" w:cs="宋体"/>
                <w:kern w:val="0"/>
                <w:szCs w:val="21"/>
                <w:lang w:bidi="ar"/>
              </w:rPr>
              <w:t>≥</w:t>
            </w:r>
            <w:r>
              <w:rPr>
                <w:rFonts w:hint="eastAsia" w:ascii="宋体" w:hAnsi="宋体" w:cs="宋体"/>
                <w:color w:val="000000"/>
                <w:kern w:val="0"/>
                <w:szCs w:val="21"/>
                <w:lang w:bidi="ar"/>
              </w:rPr>
              <w:t>10.1英寸/IPS硬屏，分辨率等于或优于：800 × 1280；触摸操作：G+G 10点触控</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95" w:type="dxa"/>
            <w:vMerge w:val="continue"/>
            <w:shd w:val="clear" w:color="auto" w:fill="auto"/>
            <w:vAlign w:val="center"/>
          </w:tcPr>
          <w:p>
            <w:pP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r>
              <w:rPr>
                <w:rFonts w:hint="eastAsia" w:ascii="宋体" w:hAnsi="宋体" w:cs="宋体"/>
                <w:color w:val="000000"/>
                <w:kern w:val="0"/>
                <w:szCs w:val="21"/>
                <w:lang w:bidi="ar"/>
              </w:rPr>
              <w:t>4、GPU：规格参数不低于IMG GE8300，主频660MHz，、存储：2G RAM/16G ROM或以上</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95" w:type="dxa"/>
            <w:vMerge w:val="continue"/>
            <w:shd w:val="clear" w:color="auto" w:fill="auto"/>
            <w:vAlign w:val="center"/>
          </w:tcPr>
          <w:p>
            <w:pP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ascii="宋体" w:hAnsi="宋体" w:cs="宋体"/>
                <w:color w:val="000000"/>
                <w:kern w:val="0"/>
                <w:szCs w:val="21"/>
                <w:lang w:bidi="ar"/>
              </w:rPr>
              <w:t>5</w:t>
            </w:r>
            <w:r>
              <w:rPr>
                <w:rFonts w:hint="eastAsia" w:ascii="宋体" w:hAnsi="宋体" w:cs="宋体"/>
                <w:color w:val="000000"/>
                <w:kern w:val="0"/>
                <w:szCs w:val="21"/>
                <w:lang w:bidi="ar"/>
              </w:rPr>
              <w:t>、CPU：规格不低于MTK6761，四核 ARM Cortex-A53,主频2.0GHz；</w:t>
            </w:r>
            <w:r>
              <w:rPr>
                <w:rFonts w:ascii="宋体" w:hAnsi="宋体" w:cs="宋体"/>
                <w:color w:val="000000"/>
                <w:szCs w:val="21"/>
              </w:rPr>
              <w:t xml:space="preserve"> </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szCs w:val="21"/>
              </w:rPr>
            </w:pPr>
            <w:r>
              <w:rPr>
                <w:rFonts w:hint="eastAsia" w:ascii="宋体" w:hAnsi="宋体" w:cs="宋体"/>
                <w:b/>
                <w:color w:val="FF0000"/>
                <w:kern w:val="0"/>
                <w:szCs w:val="21"/>
                <w:lang w:bidi="ar"/>
              </w:rPr>
              <w:t>▲</w:t>
            </w:r>
            <w:r>
              <w:rPr>
                <w:rFonts w:ascii="宋体" w:hAnsi="宋体" w:cs="宋体"/>
                <w:b/>
                <w:color w:val="FF0000"/>
                <w:kern w:val="0"/>
                <w:szCs w:val="21"/>
                <w:lang w:bidi="ar"/>
              </w:rPr>
              <w:t>6</w:t>
            </w:r>
            <w:r>
              <w:rPr>
                <w:rFonts w:hint="eastAsia" w:ascii="宋体" w:hAnsi="宋体" w:cs="宋体"/>
                <w:b/>
                <w:color w:val="FF0000"/>
                <w:kern w:val="0"/>
                <w:szCs w:val="21"/>
                <w:lang w:bidi="ar"/>
              </w:rPr>
              <w:t>、摄像头：前置1300万像素＋AF自动对焦，麦克风：双硅MIC，降噪防啸叫高清通话，喇叭：内置，功率≥1.5W，以支持音视频呼叫功能。（需提供设备照片并标明摄像头位置）</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szCs w:val="21"/>
              </w:rPr>
            </w:pPr>
            <w:r>
              <w:rPr>
                <w:rFonts w:hint="eastAsia" w:ascii="宋体" w:hAnsi="宋体" w:cs="宋体"/>
                <w:b/>
                <w:color w:val="FF0000"/>
                <w:kern w:val="0"/>
                <w:szCs w:val="21"/>
                <w:lang w:bidi="ar"/>
              </w:rPr>
              <w:t>▲</w:t>
            </w:r>
            <w:r>
              <w:rPr>
                <w:rFonts w:ascii="宋体" w:hAnsi="宋体" w:cs="宋体"/>
                <w:b/>
                <w:color w:val="FF0000"/>
                <w:szCs w:val="21"/>
              </w:rPr>
              <w:t>7</w:t>
            </w:r>
            <w:r>
              <w:rPr>
                <w:rFonts w:hint="eastAsia" w:ascii="宋体" w:hAnsi="宋体" w:cs="宋体"/>
                <w:b/>
                <w:color w:val="FF0000"/>
                <w:kern w:val="0"/>
                <w:szCs w:val="21"/>
                <w:lang w:bidi="ar"/>
              </w:rPr>
              <w:t>、系统兼容性高，需使用Android 10.0或以上（需提供后台安卓版本页面的拍照照片，不能使用截图）</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ascii="宋体" w:hAnsi="宋体" w:cs="宋体"/>
                <w:color w:val="000000"/>
                <w:szCs w:val="21"/>
              </w:rPr>
              <w:t>8</w:t>
            </w:r>
            <w:r>
              <w:rPr>
                <w:rFonts w:hint="eastAsia" w:ascii="宋体" w:hAnsi="宋体" w:cs="宋体"/>
                <w:kern w:val="0"/>
                <w:szCs w:val="21"/>
                <w:lang w:bidi="ar"/>
              </w:rPr>
              <w:t>、</w:t>
            </w:r>
            <w:r>
              <w:rPr>
                <w:rFonts w:hint="eastAsia" w:ascii="宋体" w:hAnsi="宋体" w:cs="宋体"/>
                <w:color w:val="000000"/>
                <w:kern w:val="0"/>
                <w:szCs w:val="21"/>
                <w:lang w:bidi="ar"/>
              </w:rPr>
              <w:t>连接方式：Wi-Fi/蓝牙／NFC</w:t>
            </w:r>
            <w:r>
              <w:rPr>
                <w:rFonts w:ascii="宋体" w:hAnsi="宋体" w:cs="宋体"/>
                <w:color w:val="000000"/>
                <w:kern w:val="0"/>
                <w:szCs w:val="21"/>
                <w:lang w:bidi="ar"/>
              </w:rPr>
              <w:t>,</w:t>
            </w:r>
            <w:r>
              <w:rPr>
                <w:rFonts w:hint="eastAsia" w:ascii="宋体" w:hAnsi="宋体" w:cs="宋体"/>
                <w:color w:val="000000"/>
                <w:kern w:val="0"/>
                <w:szCs w:val="21"/>
                <w:lang w:bidi="ar"/>
              </w:rPr>
              <w:t xml:space="preserve"> 网络接口：RJ45，100M带宽，供电方式：POE+供电、支持12V2A电源供电，支持Reset复位功能</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szCs w:val="21"/>
              </w:rPr>
            </w:pPr>
            <w:r>
              <w:rPr>
                <w:rFonts w:hint="eastAsia" w:ascii="宋体" w:hAnsi="宋体" w:cs="宋体"/>
                <w:b/>
                <w:color w:val="FF0000"/>
                <w:kern w:val="0"/>
                <w:sz w:val="22"/>
                <w:lang w:bidi="ar"/>
              </w:rPr>
              <w:t>▲</w:t>
            </w:r>
            <w:r>
              <w:rPr>
                <w:rFonts w:ascii="宋体" w:hAnsi="宋体" w:cs="宋体"/>
                <w:b/>
                <w:color w:val="FF0000"/>
                <w:szCs w:val="21"/>
              </w:rPr>
              <w:t>9</w:t>
            </w:r>
            <w:r>
              <w:rPr>
                <w:rFonts w:hint="eastAsia" w:ascii="宋体" w:hAnsi="宋体" w:cs="宋体"/>
                <w:b/>
                <w:color w:val="FF0000"/>
                <w:kern w:val="0"/>
                <w:szCs w:val="21"/>
                <w:lang w:bidi="ar"/>
              </w:rPr>
              <w:t>、</w:t>
            </w:r>
            <w:r>
              <w:rPr>
                <w:rFonts w:hint="eastAsia" w:ascii="宋体" w:hAnsi="宋体" w:cs="宋体"/>
                <w:b/>
                <w:color w:val="FF0000"/>
                <w:kern w:val="0"/>
                <w:sz w:val="22"/>
                <w:lang w:bidi="ar"/>
              </w:rPr>
              <w:t>设备自身支持蓝牙定位，定位误差≤1米（需提供设备内蓝牙芯片的照片）</w:t>
            </w:r>
            <w:r>
              <w:rPr>
                <w:rFonts w:ascii="宋体" w:hAnsi="宋体" w:cs="宋体"/>
                <w:b/>
                <w:color w:val="FF0000"/>
                <w:szCs w:val="21"/>
              </w:rPr>
              <w:t xml:space="preserve"> </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szCs w:val="21"/>
              </w:rPr>
            </w:pPr>
            <w:r>
              <w:rPr>
                <w:rFonts w:ascii="宋体" w:hAnsi="宋体" w:cs="宋体"/>
                <w:szCs w:val="21"/>
              </w:rPr>
              <w:t>10</w:t>
            </w:r>
            <w:r>
              <w:rPr>
                <w:rFonts w:hint="eastAsia" w:ascii="宋体" w:hAnsi="宋体" w:cs="宋体"/>
                <w:kern w:val="0"/>
                <w:szCs w:val="21"/>
                <w:lang w:bidi="ar"/>
              </w:rPr>
              <w:t>、</w:t>
            </w:r>
            <w:r>
              <w:rPr>
                <w:rFonts w:hint="eastAsia" w:ascii="宋体" w:hAnsi="宋体" w:cs="宋体"/>
                <w:kern w:val="0"/>
                <w:sz w:val="22"/>
                <w:lang w:bidi="ar"/>
              </w:rPr>
              <w:t>可实现与护士站主机的双向语音呼叫对讲或视频对讲，支持护理呼叫、增援呼叫、文本呼叫，呼叫清除，</w:t>
            </w:r>
            <w:r>
              <w:rPr>
                <w:rFonts w:ascii="宋体" w:hAnsi="宋体" w:cs="宋体"/>
                <w:szCs w:val="21"/>
              </w:rPr>
              <w:t xml:space="preserve"> </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szCs w:val="21"/>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szCs w:val="21"/>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kern w:val="0"/>
                <w:szCs w:val="21"/>
                <w:lang w:bidi="ar"/>
              </w:rPr>
              <w:t>11、呼叫方式支持数字IP呼叫／总线制呼叫，支持床头屏物理按键呼叫、屏幕触摸呼叫、智能手柄呼叫</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Cs w:val="21"/>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r>
              <w:rPr>
                <w:rFonts w:hint="eastAsia" w:ascii="宋体" w:hAnsi="宋体" w:cs="宋体"/>
                <w:color w:val="000000"/>
                <w:szCs w:val="21"/>
              </w:rPr>
              <w:t>1</w:t>
            </w:r>
            <w:r>
              <w:rPr>
                <w:rFonts w:ascii="宋体" w:hAnsi="宋体" w:cs="宋体"/>
                <w:color w:val="000000"/>
                <w:szCs w:val="21"/>
              </w:rPr>
              <w:t>2</w:t>
            </w:r>
            <w:r>
              <w:rPr>
                <w:rFonts w:hint="eastAsia" w:ascii="宋体" w:hAnsi="宋体" w:cs="宋体"/>
                <w:kern w:val="0"/>
                <w:szCs w:val="21"/>
                <w:lang w:bidi="ar"/>
              </w:rPr>
              <w:t>、</w:t>
            </w:r>
            <w:r>
              <w:rPr>
                <w:rFonts w:hint="eastAsia" w:ascii="宋体" w:hAnsi="宋体" w:cs="宋体"/>
                <w:color w:val="000000"/>
                <w:kern w:val="0"/>
                <w:sz w:val="22"/>
                <w:lang w:bidi="ar"/>
              </w:rPr>
              <w:t xml:space="preserve">展示患者姓名、性别、年龄、主管医生、责任护士、入院天数、入院日期、住院号 </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 w:val="22"/>
                <w:lang w:bidi="ar"/>
              </w:rPr>
              <w:t>13</w:t>
            </w:r>
            <w:r>
              <w:rPr>
                <w:rFonts w:hint="eastAsia" w:ascii="宋体" w:hAnsi="宋体" w:cs="宋体"/>
                <w:kern w:val="0"/>
                <w:szCs w:val="21"/>
                <w:lang w:bidi="ar"/>
              </w:rPr>
              <w:t>、</w:t>
            </w:r>
            <w:r>
              <w:rPr>
                <w:rFonts w:hint="eastAsia" w:ascii="宋体" w:hAnsi="宋体" w:cs="宋体"/>
                <w:color w:val="000000"/>
                <w:kern w:val="0"/>
                <w:sz w:val="22"/>
                <w:lang w:bidi="ar"/>
              </w:rPr>
              <w:t>患者病情保护机制，可用标识替代部分敏感信息；</w:t>
            </w:r>
            <w:r>
              <w:rPr>
                <w:rFonts w:hint="eastAsia" w:ascii="宋体" w:hAnsi="宋体" w:cs="宋体"/>
                <w:color w:val="000000"/>
                <w:szCs w:val="21"/>
              </w:rPr>
              <w:t xml:space="preserve"> </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r>
              <w:rPr>
                <w:rFonts w:hint="eastAsia" w:ascii="宋体" w:hAnsi="宋体" w:cs="宋体"/>
                <w:color w:val="000000"/>
                <w:kern w:val="0"/>
                <w:sz w:val="22"/>
                <w:lang w:bidi="ar"/>
              </w:rPr>
              <w:t>14</w:t>
            </w:r>
            <w:r>
              <w:rPr>
                <w:rFonts w:hint="eastAsia" w:ascii="宋体" w:hAnsi="宋体" w:cs="宋体"/>
                <w:kern w:val="0"/>
                <w:szCs w:val="21"/>
                <w:lang w:bidi="ar"/>
              </w:rPr>
              <w:t>、</w:t>
            </w:r>
            <w:r>
              <w:rPr>
                <w:rFonts w:hint="eastAsia" w:ascii="宋体" w:hAnsi="宋体" w:cs="宋体"/>
                <w:color w:val="000000"/>
                <w:kern w:val="0"/>
                <w:sz w:val="22"/>
                <w:lang w:bidi="ar"/>
              </w:rPr>
              <w:t>显眼的图标，体现患者的跌倒评估结果，如高危跌倒等, 展示传染途径的颜色标识；</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r>
              <w:rPr>
                <w:rFonts w:hint="eastAsia" w:ascii="宋体" w:hAnsi="宋体" w:cs="宋体"/>
                <w:color w:val="000000"/>
                <w:kern w:val="0"/>
                <w:sz w:val="22"/>
                <w:lang w:bidi="ar"/>
              </w:rPr>
              <w:t>15</w:t>
            </w:r>
            <w:r>
              <w:rPr>
                <w:rFonts w:hint="eastAsia" w:ascii="宋体" w:hAnsi="宋体" w:cs="宋体"/>
                <w:kern w:val="0"/>
                <w:szCs w:val="21"/>
                <w:lang w:bidi="ar"/>
              </w:rPr>
              <w:t>、</w:t>
            </w:r>
            <w:r>
              <w:rPr>
                <w:rFonts w:hint="eastAsia" w:ascii="宋体" w:hAnsi="宋体" w:cs="宋体"/>
                <w:color w:val="000000"/>
                <w:kern w:val="0"/>
                <w:sz w:val="22"/>
                <w:lang w:bidi="ar"/>
              </w:rPr>
              <w:t>护理等级（如：一级护理，二级护理），饮食类型（如流质饮食），过敏史信息（如青霉素过敏）等基本信息，护理等级颜色与图标可依据需求替换；</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szCs w:val="21"/>
              </w:rPr>
            </w:pPr>
            <w:r>
              <w:rPr>
                <w:rFonts w:hint="eastAsia" w:ascii="宋体" w:hAnsi="宋体" w:cs="宋体"/>
                <w:kern w:val="0"/>
                <w:sz w:val="22"/>
                <w:lang w:bidi="ar"/>
              </w:rPr>
              <w:t>▲16</w:t>
            </w:r>
            <w:r>
              <w:rPr>
                <w:rFonts w:hint="eastAsia" w:ascii="宋体" w:hAnsi="宋体" w:cs="宋体"/>
                <w:kern w:val="0"/>
                <w:szCs w:val="21"/>
                <w:lang w:bidi="ar"/>
              </w:rPr>
              <w:t>、</w:t>
            </w:r>
            <w:r>
              <w:rPr>
                <w:rFonts w:hint="eastAsia" w:ascii="宋体" w:hAnsi="宋体" w:cs="宋体"/>
                <w:kern w:val="0"/>
                <w:sz w:val="22"/>
                <w:lang w:bidi="ar"/>
              </w:rPr>
              <w:t>提供显眼的图标，体现患者的压疮评估结果，如高危压疮,</w:t>
            </w:r>
            <w:r>
              <w:rPr>
                <w:rFonts w:ascii="宋体" w:hAnsi="宋体" w:cs="宋体"/>
                <w:kern w:val="0"/>
                <w:sz w:val="22"/>
                <w:lang w:bidi="ar"/>
              </w:rPr>
              <w:t>以及</w:t>
            </w:r>
            <w:r>
              <w:rPr>
                <w:rFonts w:hint="eastAsia" w:ascii="宋体" w:hAnsi="宋体" w:cs="宋体"/>
                <w:kern w:val="0"/>
                <w:sz w:val="22"/>
                <w:lang w:bidi="ar"/>
              </w:rPr>
              <w:t>表征患者是否有过敏史；</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r>
              <w:rPr>
                <w:rFonts w:hint="eastAsia" w:ascii="宋体" w:hAnsi="宋体" w:cs="宋体"/>
                <w:color w:val="000000"/>
                <w:kern w:val="0"/>
                <w:sz w:val="22"/>
                <w:lang w:bidi="ar"/>
              </w:rPr>
              <w:t>17</w:t>
            </w:r>
            <w:r>
              <w:rPr>
                <w:rFonts w:hint="eastAsia" w:ascii="宋体" w:hAnsi="宋体" w:cs="宋体"/>
                <w:kern w:val="0"/>
                <w:szCs w:val="21"/>
                <w:lang w:bidi="ar"/>
              </w:rPr>
              <w:t>、</w:t>
            </w:r>
            <w:r>
              <w:rPr>
                <w:rFonts w:hint="eastAsia" w:ascii="宋体" w:hAnsi="宋体" w:cs="宋体"/>
                <w:color w:val="000000"/>
                <w:kern w:val="0"/>
                <w:sz w:val="22"/>
                <w:lang w:bidi="ar"/>
              </w:rPr>
              <w:t>通过于医院HIS获取的输液监控系统及生命体征采集系统的对接数据，可显示该床位患者输液状态及生命体征各项参数；</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 w:val="22"/>
                <w:lang w:bidi="ar"/>
              </w:rPr>
              <w:t>18</w:t>
            </w:r>
            <w:r>
              <w:rPr>
                <w:rFonts w:hint="eastAsia" w:ascii="宋体" w:hAnsi="宋体" w:cs="宋体"/>
                <w:kern w:val="0"/>
                <w:szCs w:val="21"/>
                <w:lang w:bidi="ar"/>
              </w:rPr>
              <w:t>、</w:t>
            </w:r>
            <w:r>
              <w:rPr>
                <w:rFonts w:hint="eastAsia" w:ascii="宋体" w:hAnsi="宋体" w:cs="宋体"/>
                <w:color w:val="000000"/>
                <w:kern w:val="0"/>
                <w:sz w:val="22"/>
                <w:lang w:bidi="ar"/>
              </w:rPr>
              <w:t>支持医院介绍内容展示, 支持医院宣传片上传与播放, 科室介绍内容展示, 支持播放护理宣教视频</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szCs w:val="21"/>
              </w:rPr>
            </w:pPr>
            <w:r>
              <w:rPr>
                <w:rFonts w:hint="eastAsia" w:ascii="宋体" w:hAnsi="宋体" w:cs="宋体"/>
                <w:b/>
                <w:color w:val="FF0000"/>
                <w:kern w:val="0"/>
                <w:sz w:val="22"/>
                <w:lang w:bidi="ar"/>
              </w:rPr>
              <w:t>▲19</w:t>
            </w:r>
            <w:r>
              <w:rPr>
                <w:rFonts w:hint="eastAsia" w:ascii="宋体" w:hAnsi="宋体" w:cs="宋体"/>
                <w:b/>
                <w:color w:val="FF0000"/>
                <w:kern w:val="0"/>
                <w:szCs w:val="21"/>
                <w:lang w:bidi="ar"/>
              </w:rPr>
              <w:t>、</w:t>
            </w:r>
            <w:r>
              <w:rPr>
                <w:rFonts w:hint="eastAsia" w:ascii="宋体" w:hAnsi="宋体" w:cs="宋体"/>
                <w:b/>
                <w:color w:val="FF0000"/>
                <w:szCs w:val="21"/>
              </w:rPr>
              <w:t>床头屏设备自带屏幕亮度白天根据病房光线自动调节功能，夜间可通过系统自定义熄屏时间段 ，支持屏幕手势唤醒功能</w:t>
            </w:r>
            <w:r>
              <w:rPr>
                <w:rFonts w:hint="eastAsia" w:ascii="宋体" w:hAnsi="宋体" w:cs="宋体"/>
                <w:b/>
                <w:color w:val="FF0000"/>
                <w:kern w:val="0"/>
                <w:szCs w:val="21"/>
                <w:lang w:bidi="ar"/>
              </w:rPr>
              <w:t>（需提供后台设置界面截图或者照片证明）</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b/>
                <w:color w:val="FF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szCs w:val="21"/>
              </w:rPr>
            </w:pPr>
            <w:r>
              <w:rPr>
                <w:rFonts w:hint="eastAsia" w:ascii="宋体" w:hAnsi="宋体" w:cs="宋体"/>
                <w:color w:val="000000"/>
                <w:kern w:val="0"/>
                <w:sz w:val="22"/>
                <w:lang w:bidi="ar"/>
              </w:rPr>
              <w:t>20</w:t>
            </w:r>
            <w:r>
              <w:rPr>
                <w:rFonts w:hint="eastAsia" w:ascii="宋体" w:hAnsi="宋体" w:cs="宋体"/>
                <w:kern w:val="0"/>
                <w:szCs w:val="21"/>
                <w:lang w:bidi="ar"/>
              </w:rPr>
              <w:t>、</w:t>
            </w:r>
            <w:r>
              <w:rPr>
                <w:rFonts w:hint="eastAsia" w:ascii="宋体" w:hAnsi="宋体" w:cs="宋体"/>
                <w:color w:val="000000"/>
                <w:kern w:val="0"/>
                <w:sz w:val="22"/>
                <w:lang w:bidi="ar"/>
              </w:rPr>
              <w:t>展示住院号对应的二维码或者条形码以供扫码使用，展示入院须知基本信息，医院向患者推送的通知，向患者推送消息提醒，如注意事项等</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r>
              <w:rPr>
                <w:rFonts w:hint="eastAsia" w:ascii="宋体" w:hAnsi="宋体" w:cs="宋体"/>
                <w:kern w:val="0"/>
                <w:sz w:val="22"/>
                <w:lang w:bidi="ar"/>
              </w:rPr>
              <w:t>▲21</w:t>
            </w:r>
            <w:r>
              <w:rPr>
                <w:rFonts w:hint="eastAsia" w:ascii="宋体" w:hAnsi="宋体" w:cs="宋体"/>
                <w:kern w:val="0"/>
                <w:szCs w:val="21"/>
                <w:lang w:bidi="ar"/>
              </w:rPr>
              <w:t>、</w:t>
            </w:r>
            <w:r>
              <w:rPr>
                <w:rFonts w:hint="eastAsia" w:ascii="宋体" w:hAnsi="宋体" w:cs="宋体"/>
                <w:szCs w:val="21"/>
              </w:rPr>
              <w:t>系统兼容医院原有护理床头屏设备，护理白板设备等硬件设备（安卓系统版本为6.0.1），同步完成现有所有护理床头屏设备的软件更新。后台监控设备的运行情况，如果出现死机主动提醒。</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795" w:type="dxa"/>
            <w:vMerge w:val="continue"/>
            <w:shd w:val="clear" w:color="auto" w:fill="auto"/>
            <w:vAlign w:val="center"/>
          </w:tcPr>
          <w:p>
            <w:pPr>
              <w:jc w:val="center"/>
              <w:rPr>
                <w:b/>
                <w:szCs w:val="21"/>
              </w:rPr>
            </w:pPr>
          </w:p>
        </w:tc>
        <w:tc>
          <w:tcPr>
            <w:tcW w:w="1110" w:type="dxa"/>
            <w:vMerge w:val="continue"/>
            <w:shd w:val="clear" w:color="auto" w:fill="auto"/>
          </w:tcPr>
          <w:p>
            <w:pPr>
              <w:rPr>
                <w:b/>
                <w:szCs w:val="21"/>
              </w:rPr>
            </w:pPr>
          </w:p>
        </w:tc>
        <w:tc>
          <w:tcPr>
            <w:tcW w:w="29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r>
              <w:rPr>
                <w:rFonts w:hint="eastAsia" w:ascii="宋体" w:hAnsi="宋体" w:cs="宋体"/>
                <w:kern w:val="0"/>
                <w:sz w:val="22"/>
                <w:lang w:bidi="ar"/>
              </w:rPr>
              <w:t>▲</w:t>
            </w:r>
            <w:r>
              <w:rPr>
                <w:rFonts w:ascii="宋体" w:hAnsi="宋体" w:cs="宋体"/>
                <w:kern w:val="0"/>
                <w:sz w:val="22"/>
                <w:lang w:bidi="ar"/>
              </w:rPr>
              <w:t>22</w:t>
            </w:r>
            <w:r>
              <w:rPr>
                <w:rFonts w:hint="eastAsia" w:ascii="宋体" w:hAnsi="宋体" w:cs="宋体"/>
                <w:kern w:val="0"/>
                <w:szCs w:val="21"/>
                <w:lang w:bidi="ar"/>
              </w:rPr>
              <w:t>、</w:t>
            </w:r>
            <w:r>
              <w:rPr>
                <w:rFonts w:hint="eastAsia" w:ascii="宋体" w:hAnsi="宋体" w:cs="宋体"/>
                <w:kern w:val="0"/>
                <w:sz w:val="22"/>
                <w:lang w:bidi="ar"/>
              </w:rPr>
              <w:t>支持设备远程分批次更新，实时监控各设备的服务器连接状况、设备版本、网络连接状况、远程控制设备进行重启；支持OTA系统远程在线升级；</w:t>
            </w: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p>
        </w:tc>
        <w:tc>
          <w:tcPr>
            <w:tcW w:w="171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cs="宋体"/>
                <w:kern w:val="0"/>
                <w:sz w:val="22"/>
                <w:lang w:bidi="ar"/>
              </w:rPr>
            </w:pPr>
          </w:p>
        </w:tc>
      </w:tr>
    </w:tbl>
    <w:p>
      <w:pPr>
        <w:rPr>
          <w:sz w:val="24"/>
        </w:rPr>
      </w:pPr>
    </w:p>
    <w:p>
      <w:pPr>
        <w:rPr>
          <w:sz w:val="24"/>
        </w:rPr>
      </w:pPr>
      <w:r>
        <w:rPr>
          <w:rFonts w:hint="eastAsia"/>
          <w:sz w:val="24"/>
        </w:rPr>
        <w:t>备注：</w:t>
      </w:r>
    </w:p>
    <w:p>
      <w:pPr>
        <w:rPr>
          <w:color w:val="FF0000"/>
          <w:sz w:val="24"/>
        </w:rPr>
      </w:pPr>
      <w:r>
        <w:rPr>
          <w:rFonts w:hint="eastAsia"/>
          <w:color w:val="FF0000"/>
          <w:sz w:val="24"/>
        </w:rPr>
        <w:t>1、“招标技术要求”一栏应</w:t>
      </w:r>
      <w:r>
        <w:rPr>
          <w:rFonts w:hint="eastAsia"/>
          <w:b/>
          <w:color w:val="FF0000"/>
          <w:sz w:val="24"/>
        </w:rPr>
        <w:t>填写招标文件第二章</w:t>
      </w:r>
      <w:r>
        <w:rPr>
          <w:rFonts w:hint="eastAsia"/>
          <w:color w:val="FF0000"/>
          <w:sz w:val="24"/>
        </w:rPr>
        <w:t>“三、具体技术要求”的内容；</w:t>
      </w:r>
    </w:p>
    <w:p>
      <w:pPr>
        <w:rPr>
          <w:color w:val="FF0000"/>
          <w:sz w:val="24"/>
        </w:rPr>
      </w:pPr>
      <w:r>
        <w:rPr>
          <w:rFonts w:hint="eastAsia"/>
          <w:color w:val="FF0000"/>
          <w:sz w:val="24"/>
        </w:rPr>
        <w:t>2、“投标技术响应”一栏必须详细填写投标产品的具体参数，并应对照招标技术要求一一对应响应；</w:t>
      </w:r>
    </w:p>
    <w:p>
      <w:pPr>
        <w:rPr>
          <w:color w:val="FF0000"/>
          <w:sz w:val="24"/>
        </w:rPr>
      </w:pPr>
      <w:r>
        <w:rPr>
          <w:rFonts w:hint="eastAsia"/>
          <w:color w:val="FF0000"/>
          <w:sz w:val="24"/>
        </w:rPr>
        <w:t>3、“偏离情况”一栏应如实填写“正偏离”、“负偏离”或“无偏离”。</w:t>
      </w:r>
    </w:p>
    <w:p>
      <w:pPr>
        <w:rPr>
          <w:sz w:val="24"/>
        </w:rPr>
      </w:pPr>
      <w:r>
        <w:rPr>
          <w:rFonts w:hint="eastAsia"/>
          <w:sz w:val="24"/>
        </w:rPr>
        <w:t>4、投标产品的技术参数应尽可能提供相应的证明资料，以证明投标人响应的真实性。证明资料包括制造商公布的产品说明书、产品彩页和我国政府机构出具的产品检验和核准证件等。证明</w:t>
      </w:r>
      <w:r>
        <w:rPr>
          <w:sz w:val="24"/>
        </w:rPr>
        <w:t>资料请</w:t>
      </w:r>
      <w:r>
        <w:rPr>
          <w:rFonts w:hint="eastAsia"/>
          <w:sz w:val="24"/>
        </w:rPr>
        <w:t>放在</w:t>
      </w:r>
      <w:r>
        <w:rPr>
          <w:sz w:val="24"/>
        </w:rPr>
        <w:t>“</w:t>
      </w:r>
      <w:r>
        <w:rPr>
          <w:rFonts w:hint="eastAsia"/>
          <w:sz w:val="24"/>
        </w:rPr>
        <w:t>技术规格</w:t>
      </w:r>
      <w:r>
        <w:rPr>
          <w:sz w:val="24"/>
        </w:rPr>
        <w:t>证明文件”</w:t>
      </w:r>
      <w:r>
        <w:rPr>
          <w:rFonts w:hint="eastAsia"/>
          <w:sz w:val="24"/>
        </w:rPr>
        <w:t>中</w:t>
      </w:r>
      <w:r>
        <w:rPr>
          <w:sz w:val="24"/>
        </w:rPr>
        <w:t>，并在</w:t>
      </w:r>
      <w:r>
        <w:rPr>
          <w:rFonts w:hint="eastAsia"/>
          <w:sz w:val="24"/>
        </w:rPr>
        <w:t>“说明”一栏中列出技术参数的证明资料在“技术规格证明文件清单”中的</w:t>
      </w:r>
      <w:r>
        <w:rPr>
          <w:sz w:val="24"/>
        </w:rPr>
        <w:t>序号</w:t>
      </w:r>
      <w:r>
        <w:rPr>
          <w:rFonts w:hint="eastAsia"/>
          <w:sz w:val="24"/>
        </w:rPr>
        <w:t>。</w:t>
      </w:r>
    </w:p>
    <w:p>
      <w:pPr>
        <w:rPr>
          <w:color w:val="FF0000"/>
          <w:sz w:val="24"/>
        </w:rPr>
      </w:pPr>
      <w:r>
        <w:rPr>
          <w:rFonts w:hint="eastAsia"/>
          <w:color w:val="FF0000"/>
          <w:sz w:val="24"/>
        </w:rPr>
        <w:t>招标文件具体技术要求中要求提供证明资料的，投标人应提供；如不能提供，应在偏离情况栏中如实填写为“负偏离”。否则，评标委员会有权认定为响应不实作投标无效处理。</w:t>
      </w:r>
    </w:p>
    <w:p>
      <w:pPr>
        <w:rPr>
          <w:sz w:val="24"/>
        </w:rPr>
      </w:pPr>
      <w:r>
        <w:rPr>
          <w:rFonts w:hint="eastAsia"/>
          <w:sz w:val="24"/>
        </w:rPr>
        <w:t>5、证明资料的提供要求：</w:t>
      </w:r>
    </w:p>
    <w:p>
      <w:pPr>
        <w:rPr>
          <w:sz w:val="24"/>
        </w:rPr>
      </w:pPr>
      <w:r>
        <w:rPr>
          <w:rFonts w:hint="eastAsia"/>
          <w:sz w:val="24"/>
        </w:rPr>
        <w:t>（1）产品说明书或彩页应为制造商公布或出具的中文产品说明书或彩页；提供外文说明书或彩页的，必须同时提供加盖制造商公章的对应中文翻译说明，评标依据以中文翻译内容为准，外文说明书或彩页仅供参考；</w:t>
      </w:r>
    </w:p>
    <w:p>
      <w:pPr>
        <w:rPr>
          <w:sz w:val="24"/>
        </w:rPr>
      </w:pPr>
      <w:r>
        <w:rPr>
          <w:rFonts w:hint="eastAsia"/>
          <w:sz w:val="24"/>
        </w:rPr>
        <w:t>（2）我国政府机构出具的产品检验和核准证件应为证件正面、背面和附件标注的全部具体内容；产品检验和核准证件的尺寸和清晰度应该能够被阅读、识别和判断。</w:t>
      </w:r>
    </w:p>
    <w:p>
      <w:pPr>
        <w:rPr>
          <w:sz w:val="24"/>
        </w:rPr>
      </w:pPr>
      <w:r>
        <w:rPr>
          <w:rFonts w:hint="eastAsia"/>
          <w:sz w:val="24"/>
        </w:rPr>
        <w:t>未达到以上提供要求的，评标委员会有权认定为不合格响应，其相关分数予以扣减或作废标处理。</w:t>
      </w:r>
    </w:p>
    <w:p>
      <w:pPr>
        <w:rPr>
          <w:sz w:val="24"/>
        </w:rPr>
      </w:pPr>
      <w:r>
        <w:rPr>
          <w:rFonts w:hint="eastAsia"/>
          <w:sz w:val="24"/>
        </w:rPr>
        <w:t>6、评标委员会有权对以谋取中标为目的的技术规格模糊响应（如有意照搬照抄招标文件的技术要求）或虚假响应予以认定，并视情况经深圳大学总医院招投标管理办公室报深圳大学总医院采购招标领导部门予以处罚。</w:t>
      </w:r>
    </w:p>
    <w:p>
      <w:pPr>
        <w:rPr>
          <w:sz w:val="24"/>
        </w:rPr>
      </w:pPr>
      <w:r>
        <w:rPr>
          <w:sz w:val="24"/>
        </w:rPr>
        <w:br w:type="page"/>
      </w:r>
    </w:p>
    <w:p>
      <w:pPr>
        <w:pStyle w:val="3"/>
        <w:jc w:val="center"/>
        <w:rPr>
          <w:b w:val="0"/>
        </w:rPr>
      </w:pPr>
      <w:r>
        <w:rPr>
          <w:rFonts w:hint="eastAsia" w:ascii="黑体" w:eastAsia="黑体"/>
          <w:b w:val="0"/>
          <w:bCs w:val="0"/>
          <w:kern w:val="0"/>
          <w:sz w:val="24"/>
          <w:szCs w:val="20"/>
        </w:rPr>
        <w:t>十、商务需求偏离表</w:t>
      </w:r>
    </w:p>
    <w:p>
      <w:pPr>
        <w:rPr>
          <w:b/>
          <w:sz w:val="24"/>
        </w:rPr>
      </w:pPr>
    </w:p>
    <w:p>
      <w:pPr>
        <w:rPr>
          <w:sz w:val="24"/>
          <w:u w:val="single"/>
        </w:rPr>
      </w:pPr>
      <w:r>
        <w:rPr>
          <w:rFonts w:hint="eastAsia"/>
          <w:sz w:val="24"/>
        </w:rPr>
        <w:t>投标人名称</w:t>
      </w:r>
      <w:r>
        <w:rPr>
          <w:rFonts w:hint="eastAsia"/>
          <w:sz w:val="24"/>
          <w:u w:val="single"/>
        </w:rPr>
        <w:t xml:space="preserve">                          </w:t>
      </w:r>
      <w:r>
        <w:rPr>
          <w:rFonts w:hint="eastAsia"/>
          <w:sz w:val="24"/>
        </w:rPr>
        <w:t xml:space="preserve"> 项目编号/包号</w:t>
      </w:r>
      <w:r>
        <w:rPr>
          <w:rFonts w:hint="eastAsia"/>
          <w:sz w:val="24"/>
          <w:u w:val="single"/>
        </w:rPr>
        <w:t xml:space="preserve">                   </w:t>
      </w:r>
    </w:p>
    <w:p>
      <w:pPr>
        <w:rPr>
          <w:sz w:val="24"/>
        </w:rPr>
      </w:pPr>
    </w:p>
    <w:tbl>
      <w:tblPr>
        <w:tblStyle w:val="54"/>
        <w:tblW w:w="9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50"/>
        <w:gridCol w:w="2835"/>
        <w:gridCol w:w="1710"/>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b/>
                <w:szCs w:val="21"/>
              </w:rPr>
              <w:t>序号</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b/>
              </w:rPr>
            </w:pPr>
            <w:r>
              <w:rPr>
                <w:b/>
                <w:szCs w:val="21"/>
              </w:rPr>
              <w:t>目录</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b/>
              </w:rPr>
            </w:pPr>
            <w:r>
              <w:rPr>
                <w:b/>
                <w:szCs w:val="21"/>
              </w:rPr>
              <w:t>招标商务需求</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szCs w:val="21"/>
              </w:rPr>
              <w:t>投标商务条款</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szCs w:val="21"/>
              </w:rPr>
              <w:t>偏离情况</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34" w:type="dxa"/>
            <w:gridSpan w:val="3"/>
          </w:tcPr>
          <w:p>
            <w:pPr>
              <w:rPr>
                <w:b/>
              </w:rPr>
            </w:pPr>
            <w:r>
              <w:rPr>
                <w:rFonts w:hint="eastAsia"/>
                <w:b/>
              </w:rPr>
              <w:t>（一）免费保修期内售后服务要求</w:t>
            </w:r>
          </w:p>
        </w:tc>
        <w:tc>
          <w:tcPr>
            <w:tcW w:w="1710" w:type="dxa"/>
          </w:tcPr>
          <w:p>
            <w:pPr>
              <w:rPr>
                <w:b/>
              </w:rPr>
            </w:pPr>
          </w:p>
        </w:tc>
        <w:tc>
          <w:tcPr>
            <w:tcW w:w="1380" w:type="dxa"/>
          </w:tcPr>
          <w:p>
            <w:pPr>
              <w:rPr>
                <w:b/>
              </w:rPr>
            </w:pPr>
          </w:p>
        </w:tc>
        <w:tc>
          <w:tcPr>
            <w:tcW w:w="1380"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49" w:type="dxa"/>
            <w:vAlign w:val="center"/>
          </w:tcPr>
          <w:p>
            <w:pPr>
              <w:jc w:val="center"/>
              <w:rPr>
                <w:b/>
              </w:rPr>
            </w:pPr>
            <w:r>
              <w:rPr>
                <w:rFonts w:hint="eastAsia"/>
                <w:b/>
              </w:rPr>
              <w:t>1</w:t>
            </w:r>
          </w:p>
        </w:tc>
        <w:tc>
          <w:tcPr>
            <w:tcW w:w="1350" w:type="dxa"/>
            <w:vAlign w:val="center"/>
          </w:tcPr>
          <w:p>
            <w:r>
              <w:rPr>
                <w:rFonts w:hint="eastAsia"/>
              </w:rPr>
              <w:t>免费保修期</w:t>
            </w:r>
          </w:p>
        </w:tc>
        <w:tc>
          <w:tcPr>
            <w:tcW w:w="2835" w:type="dxa"/>
          </w:tcPr>
          <w:p>
            <w:pPr>
              <w:rPr>
                <w:b/>
              </w:rPr>
            </w:pPr>
            <w:r>
              <w:rPr>
                <w:rFonts w:hint="eastAsia"/>
                <w:b/>
                <w:szCs w:val="21"/>
              </w:rPr>
              <w:t>货物免费保修期</w:t>
            </w:r>
            <w:r>
              <w:rPr>
                <w:rFonts w:hint="eastAsia"/>
                <w:bCs/>
                <w:szCs w:val="21"/>
              </w:rPr>
              <w:t>原厂全保</w:t>
            </w:r>
            <w:r>
              <w:rPr>
                <w:rFonts w:hint="eastAsia"/>
                <w:b/>
                <w:szCs w:val="21"/>
                <w:u w:val="single"/>
              </w:rPr>
              <w:t xml:space="preserve">  </w:t>
            </w:r>
            <w:r>
              <w:rPr>
                <w:b/>
                <w:szCs w:val="21"/>
                <w:u w:val="single"/>
              </w:rPr>
              <w:t>1</w:t>
            </w:r>
            <w:r>
              <w:rPr>
                <w:rFonts w:hint="eastAsia"/>
                <w:b/>
                <w:szCs w:val="21"/>
                <w:u w:val="single"/>
              </w:rPr>
              <w:t xml:space="preserve">  </w:t>
            </w:r>
            <w:r>
              <w:rPr>
                <w:rFonts w:hint="eastAsia"/>
                <w:b/>
                <w:szCs w:val="21"/>
              </w:rPr>
              <w:t>年</w:t>
            </w:r>
            <w:r>
              <w:rPr>
                <w:rFonts w:hint="eastAsia"/>
                <w:bCs/>
                <w:szCs w:val="21"/>
              </w:rPr>
              <w:t>，时间自最终验收合格并交付使用之日起计算。</w:t>
            </w:r>
          </w:p>
        </w:tc>
        <w:tc>
          <w:tcPr>
            <w:tcW w:w="1710" w:type="dxa"/>
          </w:tcPr>
          <w:p>
            <w:pPr>
              <w:rPr>
                <w:b/>
                <w:szCs w:val="21"/>
              </w:rPr>
            </w:pPr>
          </w:p>
        </w:tc>
        <w:tc>
          <w:tcPr>
            <w:tcW w:w="1380" w:type="dxa"/>
          </w:tcPr>
          <w:p>
            <w:pPr>
              <w:rPr>
                <w:b/>
                <w:szCs w:val="21"/>
              </w:rPr>
            </w:pPr>
          </w:p>
        </w:tc>
        <w:tc>
          <w:tcPr>
            <w:tcW w:w="1380" w:type="dxa"/>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49" w:type="dxa"/>
            <w:vAlign w:val="center"/>
          </w:tcPr>
          <w:p>
            <w:pPr>
              <w:jc w:val="center"/>
              <w:rPr>
                <w:b/>
              </w:rPr>
            </w:pPr>
            <w:r>
              <w:rPr>
                <w:rFonts w:hint="eastAsia"/>
                <w:b/>
              </w:rPr>
              <w:t>2</w:t>
            </w:r>
          </w:p>
        </w:tc>
        <w:tc>
          <w:tcPr>
            <w:tcW w:w="1350" w:type="dxa"/>
            <w:vAlign w:val="center"/>
          </w:tcPr>
          <w:p>
            <w:r>
              <w:rPr>
                <w:rFonts w:hint="eastAsia"/>
              </w:rPr>
              <w:t>保修期</w:t>
            </w:r>
            <w:r>
              <w:t>内零件工时费用</w:t>
            </w:r>
          </w:p>
        </w:tc>
        <w:tc>
          <w:tcPr>
            <w:tcW w:w="2835" w:type="dxa"/>
          </w:tcPr>
          <w:p>
            <w:pPr>
              <w:rPr>
                <w:bCs/>
                <w:szCs w:val="21"/>
              </w:rPr>
            </w:pPr>
            <w:r>
              <w:rPr>
                <w:rFonts w:hint="eastAsia"/>
                <w:szCs w:val="21"/>
              </w:rPr>
              <w:t>保修期内，免费更换零配件、免工时费。</w:t>
            </w:r>
          </w:p>
        </w:tc>
        <w:tc>
          <w:tcPr>
            <w:tcW w:w="1710" w:type="dxa"/>
          </w:tcPr>
          <w:p>
            <w:pPr>
              <w:rPr>
                <w:szCs w:val="21"/>
              </w:rPr>
            </w:pPr>
          </w:p>
        </w:tc>
        <w:tc>
          <w:tcPr>
            <w:tcW w:w="1380" w:type="dxa"/>
          </w:tcPr>
          <w:p>
            <w:pPr>
              <w:rPr>
                <w:szCs w:val="21"/>
              </w:rPr>
            </w:pPr>
          </w:p>
        </w:tc>
        <w:tc>
          <w:tcPr>
            <w:tcW w:w="138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49" w:type="dxa"/>
            <w:vAlign w:val="center"/>
          </w:tcPr>
          <w:p>
            <w:pPr>
              <w:jc w:val="center"/>
              <w:rPr>
                <w:b/>
              </w:rPr>
            </w:pPr>
            <w:r>
              <w:rPr>
                <w:rFonts w:hint="eastAsia"/>
                <w:b/>
              </w:rPr>
              <w:t>3</w:t>
            </w:r>
          </w:p>
        </w:tc>
        <w:tc>
          <w:tcPr>
            <w:tcW w:w="1350" w:type="dxa"/>
            <w:vAlign w:val="center"/>
          </w:tcPr>
          <w:p>
            <w:r>
              <w:rPr>
                <w:rFonts w:hint="eastAsia"/>
              </w:rPr>
              <w:t>保修期</w:t>
            </w:r>
            <w:r>
              <w:t>内</w:t>
            </w:r>
            <w:r>
              <w:rPr>
                <w:rFonts w:hint="eastAsia"/>
                <w:szCs w:val="21"/>
              </w:rPr>
              <w:t>年度维护保养</w:t>
            </w:r>
          </w:p>
        </w:tc>
        <w:tc>
          <w:tcPr>
            <w:tcW w:w="2835" w:type="dxa"/>
          </w:tcPr>
          <w:p>
            <w:pPr>
              <w:rPr>
                <w:bCs/>
                <w:szCs w:val="21"/>
              </w:rPr>
            </w:pPr>
            <w:r>
              <w:rPr>
                <w:rFonts w:hint="eastAsia"/>
                <w:szCs w:val="21"/>
              </w:rPr>
              <w:t>保修期内，年度定期预防性维护保养次数应不少于</w:t>
            </w:r>
            <w:r>
              <w:rPr>
                <w:rFonts w:hint="eastAsia"/>
                <w:b/>
                <w:szCs w:val="21"/>
                <w:u w:val="single"/>
              </w:rPr>
              <w:t xml:space="preserve"> 2 </w:t>
            </w:r>
            <w:r>
              <w:rPr>
                <w:rFonts w:hint="eastAsia"/>
                <w:b/>
                <w:szCs w:val="21"/>
              </w:rPr>
              <w:t>次</w:t>
            </w:r>
            <w:r>
              <w:rPr>
                <w:rFonts w:hint="eastAsia"/>
                <w:szCs w:val="21"/>
              </w:rPr>
              <w:t>，并提供</w:t>
            </w:r>
            <w:r>
              <w:rPr>
                <w:rFonts w:hint="eastAsia"/>
                <w:bCs/>
                <w:szCs w:val="21"/>
              </w:rPr>
              <w:t>维护保养报告</w:t>
            </w:r>
            <w:r>
              <w:rPr>
                <w:rFonts w:hint="eastAsia"/>
                <w:szCs w:val="21"/>
              </w:rPr>
              <w:t>。</w:t>
            </w:r>
          </w:p>
        </w:tc>
        <w:tc>
          <w:tcPr>
            <w:tcW w:w="1710" w:type="dxa"/>
          </w:tcPr>
          <w:p>
            <w:pPr>
              <w:rPr>
                <w:szCs w:val="21"/>
              </w:rPr>
            </w:pPr>
          </w:p>
        </w:tc>
        <w:tc>
          <w:tcPr>
            <w:tcW w:w="1380" w:type="dxa"/>
          </w:tcPr>
          <w:p>
            <w:pPr>
              <w:rPr>
                <w:szCs w:val="21"/>
              </w:rPr>
            </w:pPr>
          </w:p>
        </w:tc>
        <w:tc>
          <w:tcPr>
            <w:tcW w:w="138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9" w:type="dxa"/>
            <w:vAlign w:val="center"/>
          </w:tcPr>
          <w:p>
            <w:pPr>
              <w:jc w:val="center"/>
              <w:rPr>
                <w:b/>
              </w:rPr>
            </w:pPr>
            <w:r>
              <w:rPr>
                <w:rFonts w:hint="eastAsia"/>
                <w:b/>
              </w:rPr>
              <w:t>4</w:t>
            </w:r>
          </w:p>
        </w:tc>
        <w:tc>
          <w:tcPr>
            <w:tcW w:w="1350" w:type="dxa"/>
          </w:tcPr>
          <w:p>
            <w:r>
              <w:rPr>
                <w:rFonts w:hint="eastAsia"/>
              </w:rPr>
              <w:t>维修响应及故障解决时间</w:t>
            </w:r>
          </w:p>
        </w:tc>
        <w:tc>
          <w:tcPr>
            <w:tcW w:w="2835" w:type="dxa"/>
          </w:tcPr>
          <w:p>
            <w:pPr>
              <w:rPr>
                <w:szCs w:val="21"/>
              </w:rPr>
            </w:pPr>
            <w:r>
              <w:rPr>
                <w:rFonts w:hint="eastAsia"/>
                <w:szCs w:val="21"/>
              </w:rPr>
              <w:t>在保修期内，一旦发生质量问题，由货物制造商提供售后服务，</w:t>
            </w:r>
          </w:p>
          <w:p>
            <w:r>
              <w:rPr>
                <w:rFonts w:hint="eastAsia"/>
                <w:b/>
                <w:szCs w:val="21"/>
              </w:rPr>
              <w:t xml:space="preserve">2小时内 </w:t>
            </w:r>
            <w:r>
              <w:rPr>
                <w:rFonts w:hint="eastAsia"/>
                <w:szCs w:val="21"/>
              </w:rPr>
              <w:t>响应，</w:t>
            </w:r>
            <w:r>
              <w:rPr>
                <w:rFonts w:hint="eastAsia"/>
                <w:b/>
                <w:szCs w:val="21"/>
              </w:rPr>
              <w:t>24 小时内</w:t>
            </w:r>
            <w:r>
              <w:rPr>
                <w:rFonts w:hint="eastAsia"/>
                <w:bCs/>
                <w:szCs w:val="21"/>
              </w:rPr>
              <w:t xml:space="preserve"> </w:t>
            </w:r>
            <w:r>
              <w:rPr>
                <w:rFonts w:hint="eastAsia"/>
                <w:szCs w:val="21"/>
              </w:rPr>
              <w:t>完成维修，零配件供应及时。</w:t>
            </w:r>
          </w:p>
        </w:tc>
        <w:tc>
          <w:tcPr>
            <w:tcW w:w="1710" w:type="dxa"/>
          </w:tcPr>
          <w:p>
            <w:pPr>
              <w:rPr>
                <w:b/>
                <w:szCs w:val="21"/>
              </w:rPr>
            </w:pPr>
          </w:p>
        </w:tc>
        <w:tc>
          <w:tcPr>
            <w:tcW w:w="1380" w:type="dxa"/>
          </w:tcPr>
          <w:p>
            <w:pPr>
              <w:rPr>
                <w:b/>
                <w:szCs w:val="21"/>
              </w:rPr>
            </w:pPr>
          </w:p>
        </w:tc>
        <w:tc>
          <w:tcPr>
            <w:tcW w:w="1380" w:type="dxa"/>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9" w:type="dxa"/>
            <w:vAlign w:val="center"/>
          </w:tcPr>
          <w:p>
            <w:pPr>
              <w:jc w:val="center"/>
              <w:rPr>
                <w:b/>
              </w:rPr>
            </w:pPr>
            <w:r>
              <w:rPr>
                <w:rFonts w:hint="eastAsia"/>
                <w:b/>
              </w:rPr>
              <w:t>5</w:t>
            </w:r>
          </w:p>
        </w:tc>
        <w:tc>
          <w:tcPr>
            <w:tcW w:w="1350" w:type="dxa"/>
          </w:tcPr>
          <w:p>
            <w:r>
              <w:rPr>
                <w:rFonts w:hint="eastAsia"/>
              </w:rPr>
              <w:t>发生</w:t>
            </w:r>
            <w:r>
              <w:t>质量问题</w:t>
            </w:r>
            <w:r>
              <w:rPr>
                <w:rFonts w:hint="eastAsia"/>
              </w:rPr>
              <w:t>的</w:t>
            </w:r>
            <w:r>
              <w:t>处理方式</w:t>
            </w:r>
          </w:p>
        </w:tc>
        <w:tc>
          <w:tcPr>
            <w:tcW w:w="2835" w:type="dxa"/>
          </w:tcPr>
          <w:p>
            <w:pPr>
              <w:rPr>
                <w:bCs/>
                <w:szCs w:val="21"/>
              </w:rPr>
            </w:pPr>
            <w:r>
              <w:rPr>
                <w:rFonts w:hint="eastAsia"/>
                <w:bCs/>
                <w:szCs w:val="21"/>
              </w:rPr>
              <w:t>免费</w:t>
            </w:r>
            <w:r>
              <w:rPr>
                <w:bCs/>
                <w:szCs w:val="21"/>
              </w:rPr>
              <w:t>保修</w:t>
            </w:r>
            <w:r>
              <w:rPr>
                <w:rFonts w:hint="eastAsia"/>
                <w:bCs/>
                <w:szCs w:val="21"/>
              </w:rPr>
              <w:t>期内，如果有因质量问题而引起的损坏，中标人应对产品予以维修或更换，全部服务费和更换产品或配件的费用由中标人承担，中标人如不能修理或不能调换，按产品原价赔偿处理。</w:t>
            </w:r>
          </w:p>
        </w:tc>
        <w:tc>
          <w:tcPr>
            <w:tcW w:w="1710" w:type="dxa"/>
          </w:tcPr>
          <w:p>
            <w:pPr>
              <w:rPr>
                <w:bCs/>
                <w:szCs w:val="21"/>
              </w:rPr>
            </w:pPr>
          </w:p>
        </w:tc>
        <w:tc>
          <w:tcPr>
            <w:tcW w:w="1380" w:type="dxa"/>
          </w:tcPr>
          <w:p>
            <w:pPr>
              <w:rPr>
                <w:bCs/>
                <w:szCs w:val="21"/>
              </w:rPr>
            </w:pPr>
          </w:p>
        </w:tc>
        <w:tc>
          <w:tcPr>
            <w:tcW w:w="1380" w:type="dxa"/>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9" w:type="dxa"/>
            <w:vAlign w:val="center"/>
          </w:tcPr>
          <w:p>
            <w:pPr>
              <w:jc w:val="center"/>
              <w:rPr>
                <w:b/>
              </w:rPr>
            </w:pPr>
            <w:r>
              <w:rPr>
                <w:rFonts w:hint="eastAsia"/>
                <w:b/>
              </w:rPr>
              <w:t>6</w:t>
            </w:r>
          </w:p>
        </w:tc>
        <w:tc>
          <w:tcPr>
            <w:tcW w:w="1350" w:type="dxa"/>
          </w:tcPr>
          <w:p>
            <w:r>
              <w:rPr>
                <w:rFonts w:hint="eastAsia"/>
              </w:rPr>
              <w:t>关于延长</w:t>
            </w:r>
            <w:r>
              <w:t>保修期</w:t>
            </w:r>
          </w:p>
        </w:tc>
        <w:tc>
          <w:tcPr>
            <w:tcW w:w="2835" w:type="dxa"/>
          </w:tcPr>
          <w:p>
            <w:pPr>
              <w:spacing w:line="300" w:lineRule="exact"/>
              <w:rPr>
                <w:szCs w:val="21"/>
              </w:rPr>
            </w:pPr>
            <w:r>
              <w:rPr>
                <w:rFonts w:hint="eastAsia"/>
                <w:szCs w:val="21"/>
              </w:rPr>
              <w:t>在保修期内, 投标人应确保年开机率在98%以上, 若不能达到此开机率，将作以下处理：</w:t>
            </w:r>
          </w:p>
          <w:p>
            <w:pPr>
              <w:spacing w:line="300" w:lineRule="exact"/>
              <w:rPr>
                <w:szCs w:val="21"/>
              </w:rPr>
            </w:pPr>
            <w:r>
              <w:rPr>
                <w:rFonts w:hint="eastAsia"/>
                <w:szCs w:val="21"/>
              </w:rPr>
              <w:t>a. 年开机率在90-98%之间，</w:t>
            </w:r>
            <w:r>
              <w:rPr>
                <w:rFonts w:hint="eastAsia"/>
                <w:b/>
                <w:bCs/>
                <w:szCs w:val="21"/>
              </w:rPr>
              <w:t xml:space="preserve">赔 </w:t>
            </w:r>
            <w:r>
              <w:rPr>
                <w:rFonts w:hint="eastAsia"/>
                <w:b/>
                <w:bCs/>
                <w:szCs w:val="21"/>
                <w:u w:val="single"/>
              </w:rPr>
              <w:t xml:space="preserve"> 1 </w:t>
            </w:r>
            <w:r>
              <w:rPr>
                <w:rFonts w:hint="eastAsia"/>
                <w:b/>
                <w:bCs/>
                <w:szCs w:val="21"/>
              </w:rPr>
              <w:t xml:space="preserve"> 年</w:t>
            </w:r>
            <w:r>
              <w:rPr>
                <w:rFonts w:hint="eastAsia"/>
                <w:szCs w:val="21"/>
              </w:rPr>
              <w:t xml:space="preserve"> 延长保修期；</w:t>
            </w:r>
          </w:p>
          <w:p>
            <w:pPr>
              <w:spacing w:line="300" w:lineRule="exact"/>
              <w:rPr>
                <w:szCs w:val="21"/>
              </w:rPr>
            </w:pPr>
            <w:r>
              <w:rPr>
                <w:rFonts w:hint="eastAsia"/>
                <w:szCs w:val="21"/>
              </w:rPr>
              <w:t>b. 年开机率在85-90%之间，</w:t>
            </w:r>
            <w:r>
              <w:rPr>
                <w:rFonts w:hint="eastAsia"/>
                <w:b/>
                <w:bCs/>
                <w:szCs w:val="21"/>
              </w:rPr>
              <w:t xml:space="preserve">赔 </w:t>
            </w:r>
            <w:r>
              <w:rPr>
                <w:rFonts w:hint="eastAsia"/>
                <w:b/>
                <w:bCs/>
                <w:szCs w:val="21"/>
                <w:u w:val="single"/>
              </w:rPr>
              <w:t xml:space="preserve"> 2 </w:t>
            </w:r>
            <w:r>
              <w:rPr>
                <w:rFonts w:hint="eastAsia"/>
                <w:b/>
                <w:bCs/>
                <w:szCs w:val="21"/>
              </w:rPr>
              <w:t xml:space="preserve"> 年 </w:t>
            </w:r>
            <w:r>
              <w:rPr>
                <w:rFonts w:hint="eastAsia"/>
                <w:szCs w:val="21"/>
              </w:rPr>
              <w:t>延长保修期；</w:t>
            </w:r>
          </w:p>
          <w:p>
            <w:pPr>
              <w:spacing w:line="300" w:lineRule="exact"/>
              <w:rPr>
                <w:szCs w:val="21"/>
              </w:rPr>
            </w:pPr>
            <w:r>
              <w:rPr>
                <w:rFonts w:hint="eastAsia"/>
                <w:szCs w:val="21"/>
              </w:rPr>
              <w:t xml:space="preserve">c. 年开机率低于85%，投标人必须无条件更换新机，并重新计算保修期，以及赔偿用户的直接经济损失和间接经济损失。 </w:t>
            </w:r>
          </w:p>
          <w:p>
            <w:pPr>
              <w:rPr>
                <w:bCs/>
                <w:szCs w:val="21"/>
              </w:rPr>
            </w:pPr>
            <w:r>
              <w:rPr>
                <w:rFonts w:hint="eastAsia"/>
                <w:szCs w:val="21"/>
              </w:rPr>
              <w:t xml:space="preserve">   注：年开机率=（365-停机天数）/365）。</w:t>
            </w:r>
          </w:p>
        </w:tc>
        <w:tc>
          <w:tcPr>
            <w:tcW w:w="1710" w:type="dxa"/>
          </w:tcPr>
          <w:p>
            <w:pPr>
              <w:rPr>
                <w:szCs w:val="21"/>
              </w:rPr>
            </w:pPr>
          </w:p>
        </w:tc>
        <w:tc>
          <w:tcPr>
            <w:tcW w:w="1380" w:type="dxa"/>
          </w:tcPr>
          <w:p>
            <w:pPr>
              <w:rPr>
                <w:szCs w:val="21"/>
              </w:rPr>
            </w:pPr>
          </w:p>
        </w:tc>
        <w:tc>
          <w:tcPr>
            <w:tcW w:w="138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49" w:type="dxa"/>
            <w:vAlign w:val="center"/>
          </w:tcPr>
          <w:p>
            <w:pPr>
              <w:jc w:val="center"/>
              <w:rPr>
                <w:b/>
              </w:rPr>
            </w:pPr>
            <w:r>
              <w:rPr>
                <w:rFonts w:hint="eastAsia"/>
                <w:b/>
              </w:rPr>
              <w:t>7</w:t>
            </w:r>
          </w:p>
        </w:tc>
        <w:tc>
          <w:tcPr>
            <w:tcW w:w="1350" w:type="dxa"/>
            <w:vAlign w:val="center"/>
          </w:tcPr>
          <w:p>
            <w:pPr>
              <w:rPr>
                <w:b/>
              </w:rPr>
            </w:pPr>
            <w:r>
              <w:rPr>
                <w:rFonts w:hint="eastAsia"/>
              </w:rPr>
              <w:t>其他</w:t>
            </w:r>
          </w:p>
        </w:tc>
        <w:tc>
          <w:tcPr>
            <w:tcW w:w="2835" w:type="dxa"/>
            <w:vAlign w:val="center"/>
          </w:tcPr>
          <w:p>
            <w:pPr>
              <w:rPr>
                <w:b/>
              </w:rPr>
            </w:pPr>
            <w:r>
              <w:rPr>
                <w:rFonts w:hint="eastAsia"/>
                <w:bCs/>
                <w:szCs w:val="21"/>
              </w:rPr>
              <w:t>投标人应按其投标文件中的承诺，进行其他售后服务工作。</w:t>
            </w:r>
          </w:p>
        </w:tc>
        <w:tc>
          <w:tcPr>
            <w:tcW w:w="1710" w:type="dxa"/>
            <w:vAlign w:val="center"/>
          </w:tcPr>
          <w:p>
            <w:pPr>
              <w:rPr>
                <w:bCs/>
                <w:szCs w:val="21"/>
              </w:rPr>
            </w:pPr>
          </w:p>
        </w:tc>
        <w:tc>
          <w:tcPr>
            <w:tcW w:w="1380" w:type="dxa"/>
            <w:vAlign w:val="center"/>
          </w:tcPr>
          <w:p>
            <w:pPr>
              <w:rPr>
                <w:bCs/>
                <w:szCs w:val="21"/>
              </w:rPr>
            </w:pPr>
          </w:p>
        </w:tc>
        <w:tc>
          <w:tcPr>
            <w:tcW w:w="1380" w:type="dxa"/>
            <w:vAlign w:val="center"/>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034" w:type="dxa"/>
            <w:gridSpan w:val="3"/>
          </w:tcPr>
          <w:p>
            <w:pPr>
              <w:rPr>
                <w:b/>
              </w:rPr>
            </w:pPr>
            <w:r>
              <w:rPr>
                <w:rFonts w:hint="eastAsia"/>
                <w:b/>
              </w:rPr>
              <w:t>（二）其他商务要求</w:t>
            </w:r>
          </w:p>
        </w:tc>
        <w:tc>
          <w:tcPr>
            <w:tcW w:w="1710" w:type="dxa"/>
          </w:tcPr>
          <w:p>
            <w:pPr>
              <w:rPr>
                <w:b/>
              </w:rPr>
            </w:pPr>
          </w:p>
        </w:tc>
        <w:tc>
          <w:tcPr>
            <w:tcW w:w="1380" w:type="dxa"/>
          </w:tcPr>
          <w:p>
            <w:pPr>
              <w:rPr>
                <w:b/>
              </w:rPr>
            </w:pPr>
          </w:p>
        </w:tc>
        <w:tc>
          <w:tcPr>
            <w:tcW w:w="1380"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 w:type="dxa"/>
            <w:vMerge w:val="restart"/>
            <w:vAlign w:val="center"/>
          </w:tcPr>
          <w:p>
            <w:pPr>
              <w:jc w:val="center"/>
              <w:rPr>
                <w:b/>
              </w:rPr>
            </w:pPr>
            <w:r>
              <w:rPr>
                <w:rFonts w:hint="eastAsia"/>
                <w:b/>
              </w:rPr>
              <w:t>1</w:t>
            </w:r>
          </w:p>
        </w:tc>
        <w:tc>
          <w:tcPr>
            <w:tcW w:w="1350" w:type="dxa"/>
            <w:vMerge w:val="restart"/>
            <w:vAlign w:val="center"/>
          </w:tcPr>
          <w:p>
            <w:pPr>
              <w:jc w:val="center"/>
            </w:pPr>
            <w:r>
              <w:rPr>
                <w:rFonts w:hint="eastAsia"/>
              </w:rPr>
              <w:t>关于交货</w:t>
            </w:r>
          </w:p>
        </w:tc>
        <w:tc>
          <w:tcPr>
            <w:tcW w:w="2835" w:type="dxa"/>
          </w:tcPr>
          <w:p>
            <w:pPr>
              <w:rPr>
                <w:bCs/>
                <w:szCs w:val="21"/>
              </w:rPr>
            </w:pPr>
            <w:r>
              <w:rPr>
                <w:rFonts w:hint="eastAsia"/>
                <w:bCs/>
                <w:szCs w:val="21"/>
              </w:rPr>
              <w:t>1.1</w:t>
            </w:r>
            <w:r>
              <w:rPr>
                <w:bCs/>
                <w:szCs w:val="21"/>
              </w:rPr>
              <w:t xml:space="preserve"> </w:t>
            </w:r>
            <w:r>
              <w:rPr>
                <w:rFonts w:hint="eastAsia"/>
                <w:bCs/>
                <w:szCs w:val="21"/>
              </w:rPr>
              <w:t>签订合同后</w:t>
            </w:r>
            <w:r>
              <w:rPr>
                <w:rFonts w:hint="eastAsia"/>
                <w:b/>
                <w:szCs w:val="21"/>
                <w:u w:val="single"/>
              </w:rPr>
              <w:t xml:space="preserve">  3</w:t>
            </w:r>
            <w:r>
              <w:rPr>
                <w:b/>
                <w:szCs w:val="21"/>
                <w:u w:val="single"/>
              </w:rPr>
              <w:t xml:space="preserve">0 </w:t>
            </w:r>
            <w:r>
              <w:rPr>
                <w:rFonts w:hint="eastAsia"/>
                <w:b/>
                <w:szCs w:val="21"/>
                <w:u w:val="single"/>
              </w:rPr>
              <w:t xml:space="preserve"> </w:t>
            </w:r>
            <w:r>
              <w:rPr>
                <w:rFonts w:hint="eastAsia"/>
                <w:b/>
                <w:szCs w:val="21"/>
              </w:rPr>
              <w:t>天</w:t>
            </w:r>
            <w:r>
              <w:rPr>
                <w:rFonts w:hint="eastAsia"/>
                <w:bCs/>
                <w:szCs w:val="21"/>
              </w:rPr>
              <w:t>（日历日）内。</w:t>
            </w:r>
          </w:p>
        </w:tc>
        <w:tc>
          <w:tcPr>
            <w:tcW w:w="1710" w:type="dxa"/>
          </w:tcPr>
          <w:p>
            <w:pPr>
              <w:rPr>
                <w:bCs/>
                <w:szCs w:val="21"/>
              </w:rPr>
            </w:pPr>
          </w:p>
        </w:tc>
        <w:tc>
          <w:tcPr>
            <w:tcW w:w="1380" w:type="dxa"/>
          </w:tcPr>
          <w:p>
            <w:pPr>
              <w:rPr>
                <w:bCs/>
                <w:szCs w:val="21"/>
              </w:rPr>
            </w:pPr>
          </w:p>
        </w:tc>
        <w:tc>
          <w:tcPr>
            <w:tcW w:w="1380" w:type="dxa"/>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9" w:type="dxa"/>
            <w:vMerge w:val="continue"/>
            <w:vAlign w:val="center"/>
          </w:tcPr>
          <w:p>
            <w:pPr>
              <w:jc w:val="center"/>
              <w:rPr>
                <w:b/>
              </w:rPr>
            </w:pPr>
          </w:p>
        </w:tc>
        <w:tc>
          <w:tcPr>
            <w:tcW w:w="1350" w:type="dxa"/>
            <w:vMerge w:val="continue"/>
            <w:vAlign w:val="center"/>
          </w:tcPr>
          <w:p>
            <w:pPr>
              <w:jc w:val="center"/>
            </w:pPr>
          </w:p>
        </w:tc>
        <w:tc>
          <w:tcPr>
            <w:tcW w:w="2835" w:type="dxa"/>
          </w:tcPr>
          <w:p>
            <w:pPr>
              <w:rPr>
                <w:bCs/>
                <w:szCs w:val="21"/>
              </w:rPr>
            </w:pPr>
            <w:r>
              <w:rPr>
                <w:rFonts w:hint="eastAsia"/>
                <w:bCs/>
                <w:szCs w:val="21"/>
              </w:rPr>
              <w:t>1.2</w:t>
            </w:r>
            <w:r>
              <w:rPr>
                <w:bCs/>
                <w:szCs w:val="21"/>
              </w:rPr>
              <w:t xml:space="preserve"> </w:t>
            </w:r>
            <w:r>
              <w:rPr>
                <w:rFonts w:hint="eastAsia"/>
                <w:bCs/>
                <w:szCs w:val="21"/>
              </w:rPr>
              <w:t>投标人必须承担的设备运输、安装调试、验收检测和提供设备操作说明书、图纸等其他类似的义务。中标人应委派技术人员进行现场安装、调试，并提供货物安装调试的一切技术支持。安装调试的具体时间由采购人提前3天通知中标人。</w:t>
            </w:r>
          </w:p>
        </w:tc>
        <w:tc>
          <w:tcPr>
            <w:tcW w:w="1710" w:type="dxa"/>
          </w:tcPr>
          <w:p>
            <w:pPr>
              <w:rPr>
                <w:bCs/>
                <w:szCs w:val="21"/>
              </w:rPr>
            </w:pPr>
          </w:p>
        </w:tc>
        <w:tc>
          <w:tcPr>
            <w:tcW w:w="1380" w:type="dxa"/>
          </w:tcPr>
          <w:p>
            <w:pPr>
              <w:rPr>
                <w:bCs/>
                <w:szCs w:val="21"/>
              </w:rPr>
            </w:pPr>
          </w:p>
        </w:tc>
        <w:tc>
          <w:tcPr>
            <w:tcW w:w="1380" w:type="dxa"/>
          </w:tcPr>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Merge w:val="continue"/>
            <w:vAlign w:val="center"/>
          </w:tcPr>
          <w:p>
            <w:pPr>
              <w:jc w:val="center"/>
              <w:rPr>
                <w:b/>
              </w:rPr>
            </w:pPr>
          </w:p>
        </w:tc>
        <w:tc>
          <w:tcPr>
            <w:tcW w:w="1350" w:type="dxa"/>
            <w:vMerge w:val="continue"/>
            <w:vAlign w:val="center"/>
          </w:tcPr>
          <w:p>
            <w:pPr>
              <w:jc w:val="center"/>
            </w:pPr>
          </w:p>
        </w:tc>
        <w:tc>
          <w:tcPr>
            <w:tcW w:w="2835" w:type="dxa"/>
          </w:tcPr>
          <w:p>
            <w:pPr>
              <w:spacing w:line="340" w:lineRule="exact"/>
              <w:rPr>
                <w:bCs/>
                <w:szCs w:val="21"/>
              </w:rPr>
            </w:pPr>
            <w:r>
              <w:rPr>
                <w:rFonts w:hint="eastAsia"/>
                <w:bCs/>
                <w:szCs w:val="21"/>
              </w:rPr>
              <w:t>1.3 交货（具体）地点：</w:t>
            </w:r>
            <w:r>
              <w:rPr>
                <w:rFonts w:hint="eastAsia"/>
                <w:b/>
                <w:color w:val="FF0000"/>
                <w:szCs w:val="21"/>
              </w:rPr>
              <w:t>深圳市西丽大学城学苑大道1098号 深圳大学总医院指定地点。</w:t>
            </w:r>
          </w:p>
        </w:tc>
        <w:tc>
          <w:tcPr>
            <w:tcW w:w="1710" w:type="dxa"/>
          </w:tcPr>
          <w:p>
            <w:pPr>
              <w:spacing w:line="340" w:lineRule="exact"/>
              <w:rPr>
                <w:bCs/>
                <w:szCs w:val="21"/>
              </w:rPr>
            </w:pPr>
          </w:p>
        </w:tc>
        <w:tc>
          <w:tcPr>
            <w:tcW w:w="1380" w:type="dxa"/>
          </w:tcPr>
          <w:p>
            <w:pPr>
              <w:spacing w:line="340" w:lineRule="exact"/>
              <w:rPr>
                <w:bCs/>
                <w:szCs w:val="21"/>
              </w:rPr>
            </w:pPr>
          </w:p>
        </w:tc>
        <w:tc>
          <w:tcPr>
            <w:tcW w:w="1380" w:type="dxa"/>
          </w:tcPr>
          <w:p>
            <w:pPr>
              <w:spacing w:line="34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Merge w:val="continue"/>
            <w:vAlign w:val="center"/>
          </w:tcPr>
          <w:p>
            <w:pPr>
              <w:jc w:val="center"/>
              <w:rPr>
                <w:b/>
              </w:rPr>
            </w:pPr>
          </w:p>
        </w:tc>
        <w:tc>
          <w:tcPr>
            <w:tcW w:w="1350" w:type="dxa"/>
            <w:vMerge w:val="continue"/>
            <w:vAlign w:val="center"/>
          </w:tcPr>
          <w:p>
            <w:pPr>
              <w:jc w:val="center"/>
            </w:pPr>
          </w:p>
        </w:tc>
        <w:tc>
          <w:tcPr>
            <w:tcW w:w="2835" w:type="dxa"/>
          </w:tcPr>
          <w:p>
            <w:pPr>
              <w:spacing w:line="340" w:lineRule="exact"/>
              <w:rPr>
                <w:bCs/>
                <w:szCs w:val="21"/>
              </w:rPr>
            </w:pPr>
            <w:r>
              <w:rPr>
                <w:rFonts w:hint="eastAsia"/>
                <w:b/>
                <w:color w:val="FF0000"/>
                <w:szCs w:val="21"/>
              </w:rPr>
              <w:t>1.4从中华人民共和国海关境内提供的货物</w:t>
            </w:r>
            <w:r>
              <w:rPr>
                <w:rFonts w:hint="eastAsia"/>
                <w:bCs/>
                <w:szCs w:val="21"/>
              </w:rPr>
              <w:t>，技术资料应齐全，提供但不限于如下技术文件和资料：</w:t>
            </w:r>
          </w:p>
          <w:p>
            <w:pPr>
              <w:spacing w:line="340" w:lineRule="exact"/>
              <w:rPr>
                <w:bCs/>
                <w:szCs w:val="21"/>
              </w:rPr>
            </w:pPr>
            <w:r>
              <w:rPr>
                <w:rFonts w:hint="eastAsia"/>
                <w:bCs/>
                <w:szCs w:val="21"/>
              </w:rPr>
              <w:t>（1）产品安装、操作和维修保养手册；</w:t>
            </w:r>
          </w:p>
          <w:p>
            <w:pPr>
              <w:spacing w:line="340" w:lineRule="exact"/>
              <w:rPr>
                <w:bCs/>
                <w:szCs w:val="21"/>
              </w:rPr>
            </w:pPr>
            <w:r>
              <w:rPr>
                <w:rFonts w:hint="eastAsia"/>
                <w:bCs/>
                <w:szCs w:val="21"/>
              </w:rPr>
              <w:t>（2）产品使用说明书；</w:t>
            </w:r>
          </w:p>
          <w:p>
            <w:pPr>
              <w:spacing w:line="340" w:lineRule="exact"/>
              <w:rPr>
                <w:bCs/>
                <w:szCs w:val="21"/>
              </w:rPr>
            </w:pPr>
            <w:r>
              <w:rPr>
                <w:rFonts w:hint="eastAsia"/>
                <w:bCs/>
                <w:szCs w:val="21"/>
              </w:rPr>
              <w:t>（3）产品出厂检验合格证；</w:t>
            </w:r>
          </w:p>
          <w:p>
            <w:pPr>
              <w:spacing w:line="340" w:lineRule="exact"/>
              <w:rPr>
                <w:bCs/>
                <w:szCs w:val="21"/>
              </w:rPr>
            </w:pPr>
            <w:r>
              <w:rPr>
                <w:rFonts w:hint="eastAsia"/>
                <w:bCs/>
                <w:szCs w:val="21"/>
              </w:rPr>
              <w:t>（4）产品到货清单；</w:t>
            </w:r>
          </w:p>
          <w:p>
            <w:pPr>
              <w:spacing w:line="340" w:lineRule="exact"/>
              <w:rPr>
                <w:bCs/>
                <w:szCs w:val="21"/>
              </w:rPr>
            </w:pPr>
            <w:r>
              <w:rPr>
                <w:rFonts w:hint="eastAsia"/>
                <w:bCs/>
                <w:szCs w:val="21"/>
              </w:rPr>
              <w:t>（5）产品保修证明；</w:t>
            </w:r>
          </w:p>
          <w:p>
            <w:pPr>
              <w:spacing w:line="340" w:lineRule="exact"/>
              <w:rPr>
                <w:bCs/>
                <w:szCs w:val="21"/>
              </w:rPr>
            </w:pPr>
          </w:p>
        </w:tc>
        <w:tc>
          <w:tcPr>
            <w:tcW w:w="1710" w:type="dxa"/>
          </w:tcPr>
          <w:p>
            <w:pPr>
              <w:spacing w:line="340" w:lineRule="exact"/>
              <w:rPr>
                <w:bCs/>
                <w:szCs w:val="21"/>
              </w:rPr>
            </w:pPr>
          </w:p>
        </w:tc>
        <w:tc>
          <w:tcPr>
            <w:tcW w:w="1380" w:type="dxa"/>
          </w:tcPr>
          <w:p>
            <w:pPr>
              <w:spacing w:line="340" w:lineRule="exact"/>
              <w:rPr>
                <w:bCs/>
                <w:szCs w:val="21"/>
              </w:rPr>
            </w:pPr>
          </w:p>
        </w:tc>
        <w:tc>
          <w:tcPr>
            <w:tcW w:w="1380" w:type="dxa"/>
          </w:tcPr>
          <w:p>
            <w:pPr>
              <w:spacing w:line="34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Align w:val="center"/>
          </w:tcPr>
          <w:p>
            <w:pPr>
              <w:jc w:val="center"/>
              <w:rPr>
                <w:b/>
              </w:rPr>
            </w:pPr>
            <w:r>
              <w:rPr>
                <w:rFonts w:hint="eastAsia"/>
                <w:b/>
              </w:rPr>
              <w:t>2</w:t>
            </w:r>
          </w:p>
        </w:tc>
        <w:tc>
          <w:tcPr>
            <w:tcW w:w="1350" w:type="dxa"/>
            <w:vAlign w:val="center"/>
          </w:tcPr>
          <w:p>
            <w:pPr>
              <w:jc w:val="center"/>
            </w:pPr>
            <w:r>
              <w:rPr>
                <w:rFonts w:hint="eastAsia"/>
                <w:kern w:val="0"/>
              </w:rPr>
              <w:t>质量保证</w:t>
            </w:r>
          </w:p>
        </w:tc>
        <w:tc>
          <w:tcPr>
            <w:tcW w:w="2835" w:type="dxa"/>
            <w:vAlign w:val="center"/>
          </w:tcPr>
          <w:p>
            <w:pPr>
              <w:spacing w:line="340" w:lineRule="exact"/>
              <w:rPr>
                <w:bCs/>
                <w:szCs w:val="21"/>
              </w:rPr>
            </w:pPr>
            <w:r>
              <w:rPr>
                <w:szCs w:val="21"/>
              </w:rPr>
              <w:t>2</w:t>
            </w:r>
            <w:r>
              <w:rPr>
                <w:rFonts w:hint="eastAsia"/>
                <w:szCs w:val="21"/>
              </w:rPr>
              <w:t>.保证所提供的产品全部采用优质材料和一流工艺制造而成，并未曾使用过的全新产品；所供产品均为原厂正品，决不使用任何劣货、假货等产品。</w:t>
            </w:r>
          </w:p>
        </w:tc>
        <w:tc>
          <w:tcPr>
            <w:tcW w:w="1710" w:type="dxa"/>
            <w:vAlign w:val="center"/>
          </w:tcPr>
          <w:p>
            <w:pPr>
              <w:spacing w:line="340" w:lineRule="exact"/>
              <w:rPr>
                <w:szCs w:val="21"/>
              </w:rPr>
            </w:pPr>
          </w:p>
        </w:tc>
        <w:tc>
          <w:tcPr>
            <w:tcW w:w="1380" w:type="dxa"/>
            <w:vAlign w:val="center"/>
          </w:tcPr>
          <w:p>
            <w:pPr>
              <w:spacing w:line="340" w:lineRule="exact"/>
              <w:rPr>
                <w:szCs w:val="21"/>
              </w:rPr>
            </w:pPr>
          </w:p>
        </w:tc>
        <w:tc>
          <w:tcPr>
            <w:tcW w:w="1380" w:type="dxa"/>
            <w:vAlign w:val="center"/>
          </w:tcPr>
          <w:p>
            <w:pPr>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Merge w:val="restart"/>
            <w:vAlign w:val="center"/>
          </w:tcPr>
          <w:p>
            <w:pPr>
              <w:jc w:val="center"/>
              <w:rPr>
                <w:b/>
              </w:rPr>
            </w:pPr>
            <w:r>
              <w:rPr>
                <w:b/>
              </w:rPr>
              <w:t>3</w:t>
            </w:r>
          </w:p>
        </w:tc>
        <w:tc>
          <w:tcPr>
            <w:tcW w:w="1350" w:type="dxa"/>
            <w:vMerge w:val="restart"/>
            <w:vAlign w:val="center"/>
          </w:tcPr>
          <w:p>
            <w:pPr>
              <w:jc w:val="center"/>
            </w:pPr>
            <w:r>
              <w:rPr>
                <w:rFonts w:hint="eastAsia"/>
              </w:rPr>
              <w:t>关于验收</w:t>
            </w:r>
          </w:p>
        </w:tc>
        <w:tc>
          <w:tcPr>
            <w:tcW w:w="2835" w:type="dxa"/>
          </w:tcPr>
          <w:p>
            <w:pPr>
              <w:spacing w:line="340" w:lineRule="exact"/>
              <w:rPr>
                <w:bCs/>
                <w:szCs w:val="21"/>
              </w:rPr>
            </w:pPr>
            <w:r>
              <w:rPr>
                <w:bCs/>
                <w:szCs w:val="21"/>
              </w:rPr>
              <w:t>3</w:t>
            </w:r>
            <w:r>
              <w:rPr>
                <w:rFonts w:hint="eastAsia"/>
                <w:bCs/>
                <w:szCs w:val="21"/>
              </w:rPr>
              <w:t>.1</w:t>
            </w:r>
            <w:r>
              <w:rPr>
                <w:bCs/>
                <w:szCs w:val="21"/>
              </w:rPr>
              <w:t xml:space="preserve"> </w:t>
            </w:r>
            <w:r>
              <w:rPr>
                <w:rFonts w:hint="eastAsia"/>
                <w:bCs/>
                <w:szCs w:val="21"/>
              </w:rPr>
              <w:t>投标人货物经过双方检验认可后，签署验收报告，产品保修期自验收合格之日起算，由投标人提供产品保修文件。</w:t>
            </w:r>
          </w:p>
        </w:tc>
        <w:tc>
          <w:tcPr>
            <w:tcW w:w="1710" w:type="dxa"/>
          </w:tcPr>
          <w:p>
            <w:pPr>
              <w:spacing w:line="340" w:lineRule="exact"/>
              <w:rPr>
                <w:bCs/>
                <w:szCs w:val="21"/>
              </w:rPr>
            </w:pPr>
          </w:p>
        </w:tc>
        <w:tc>
          <w:tcPr>
            <w:tcW w:w="1380" w:type="dxa"/>
          </w:tcPr>
          <w:p>
            <w:pPr>
              <w:spacing w:line="340" w:lineRule="exact"/>
              <w:rPr>
                <w:bCs/>
                <w:szCs w:val="21"/>
              </w:rPr>
            </w:pPr>
          </w:p>
        </w:tc>
        <w:tc>
          <w:tcPr>
            <w:tcW w:w="1380" w:type="dxa"/>
          </w:tcPr>
          <w:p>
            <w:pPr>
              <w:spacing w:line="34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Merge w:val="continue"/>
            <w:vAlign w:val="center"/>
          </w:tcPr>
          <w:p>
            <w:pPr>
              <w:jc w:val="center"/>
              <w:rPr>
                <w:b/>
              </w:rPr>
            </w:pPr>
          </w:p>
        </w:tc>
        <w:tc>
          <w:tcPr>
            <w:tcW w:w="1350" w:type="dxa"/>
            <w:vMerge w:val="continue"/>
          </w:tcPr>
          <w:p/>
        </w:tc>
        <w:tc>
          <w:tcPr>
            <w:tcW w:w="2835" w:type="dxa"/>
          </w:tcPr>
          <w:p>
            <w:pPr>
              <w:spacing w:line="340" w:lineRule="exact"/>
              <w:rPr>
                <w:bCs/>
                <w:szCs w:val="21"/>
              </w:rPr>
            </w:pPr>
            <w:r>
              <w:rPr>
                <w:bCs/>
                <w:szCs w:val="21"/>
              </w:rPr>
              <w:t>3</w:t>
            </w:r>
            <w:r>
              <w:rPr>
                <w:rFonts w:hint="eastAsia"/>
                <w:bCs/>
                <w:szCs w:val="21"/>
              </w:rPr>
              <w:t>.2</w:t>
            </w:r>
            <w:r>
              <w:rPr>
                <w:bCs/>
                <w:szCs w:val="21"/>
              </w:rPr>
              <w:t xml:space="preserve"> </w:t>
            </w:r>
            <w:r>
              <w:rPr>
                <w:rFonts w:hint="eastAsia"/>
                <w:bCs/>
                <w:szCs w:val="21"/>
              </w:rPr>
              <w:t>当满足以下条件时，采购人才向中标人签发货物验收报告：</w:t>
            </w:r>
          </w:p>
          <w:p>
            <w:pPr>
              <w:spacing w:line="300" w:lineRule="exact"/>
              <w:rPr>
                <w:szCs w:val="21"/>
              </w:rPr>
            </w:pPr>
            <w:r>
              <w:rPr>
                <w:rFonts w:hint="eastAsia"/>
                <w:szCs w:val="21"/>
              </w:rPr>
              <w:t>a、中标人已按照合同规定提供了全部产品及完整的技术资料，其中技术资料</w:t>
            </w:r>
            <w:r>
              <w:rPr>
                <w:rFonts w:hint="eastAsia"/>
                <w:kern w:val="0"/>
                <w:szCs w:val="21"/>
              </w:rPr>
              <w:t>包括但不限于货物配置清单、产品说明书、图纸、操作手册、维护手册（含维修密码及接口数据）、质量保证文件、服务指南等，所有外文资料须提供中文译本。</w:t>
            </w:r>
          </w:p>
          <w:p>
            <w:pPr>
              <w:spacing w:line="300" w:lineRule="exact"/>
              <w:rPr>
                <w:szCs w:val="21"/>
              </w:rPr>
            </w:pPr>
            <w:r>
              <w:rPr>
                <w:rFonts w:hint="eastAsia"/>
                <w:szCs w:val="21"/>
              </w:rPr>
              <w:t>b、货物符合招标文件技术规格书的要求，性能满足要求。</w:t>
            </w:r>
          </w:p>
          <w:p>
            <w:pPr>
              <w:spacing w:line="300" w:lineRule="exact"/>
              <w:rPr>
                <w:szCs w:val="21"/>
              </w:rPr>
            </w:pPr>
            <w:r>
              <w:rPr>
                <w:rFonts w:hint="eastAsia"/>
                <w:szCs w:val="21"/>
              </w:rPr>
              <w:t>c、货物具备产品合格证。</w:t>
            </w:r>
          </w:p>
          <w:p>
            <w:pPr>
              <w:spacing w:line="300" w:lineRule="exact"/>
              <w:rPr>
                <w:spacing w:val="-3"/>
                <w:szCs w:val="21"/>
              </w:rPr>
            </w:pPr>
            <w:r>
              <w:rPr>
                <w:rFonts w:hint="eastAsia"/>
                <w:szCs w:val="21"/>
              </w:rPr>
              <w:t>d、货物</w:t>
            </w:r>
            <w:r>
              <w:rPr>
                <w:rFonts w:hint="eastAsia"/>
                <w:spacing w:val="-3"/>
                <w:szCs w:val="21"/>
              </w:rPr>
              <w:t>如需计量检定的应提供相关计量检定部门出具的合法检定报告。</w:t>
            </w:r>
          </w:p>
          <w:p>
            <w:pPr>
              <w:spacing w:line="300" w:lineRule="exact"/>
              <w:rPr>
                <w:spacing w:val="-3"/>
                <w:szCs w:val="21"/>
              </w:rPr>
            </w:pPr>
            <w:r>
              <w:rPr>
                <w:rFonts w:hint="eastAsia"/>
                <w:spacing w:val="-3"/>
                <w:szCs w:val="21"/>
              </w:rPr>
              <w:t>e、进口货物必须具有</w:t>
            </w:r>
            <w:r>
              <w:rPr>
                <w:rFonts w:hint="eastAsia"/>
                <w:kern w:val="0"/>
                <w:szCs w:val="21"/>
              </w:rPr>
              <w:t>报关证明</w:t>
            </w:r>
            <w:r>
              <w:rPr>
                <w:rFonts w:hint="eastAsia"/>
                <w:spacing w:val="-3"/>
                <w:szCs w:val="21"/>
              </w:rPr>
              <w:t>文件、</w:t>
            </w:r>
            <w:r>
              <w:rPr>
                <w:rFonts w:hint="eastAsia"/>
                <w:kern w:val="0"/>
                <w:szCs w:val="21"/>
              </w:rPr>
              <w:t>原产地证明和</w:t>
            </w:r>
            <w:r>
              <w:rPr>
                <w:rFonts w:hint="eastAsia"/>
                <w:spacing w:val="-3"/>
                <w:szCs w:val="21"/>
              </w:rPr>
              <w:t>商检合格证明文件。</w:t>
            </w:r>
          </w:p>
          <w:p>
            <w:pPr>
              <w:spacing w:line="300" w:lineRule="exact"/>
              <w:rPr>
                <w:szCs w:val="21"/>
              </w:rPr>
            </w:pPr>
            <w:r>
              <w:rPr>
                <w:rFonts w:hint="eastAsia"/>
                <w:spacing w:val="-3"/>
                <w:szCs w:val="21"/>
              </w:rPr>
              <w:t>f、</w:t>
            </w:r>
            <w:r>
              <w:rPr>
                <w:rFonts w:hint="eastAsia"/>
                <w:szCs w:val="21"/>
              </w:rPr>
              <w:t>投标人负责将货物安全无损运抵采购人指定地点，并承担包括但不限于货物的包装、运输、保险、装卸、安装调试、培训、商检及计量检测、关税、增值税和进口代理等费用。</w:t>
            </w:r>
          </w:p>
          <w:p>
            <w:pPr>
              <w:tabs>
                <w:tab w:val="left" w:pos="1260"/>
              </w:tabs>
              <w:spacing w:line="340" w:lineRule="exact"/>
              <w:rPr>
                <w:bCs/>
                <w:szCs w:val="21"/>
              </w:rPr>
            </w:pPr>
            <w:r>
              <w:rPr>
                <w:rFonts w:hint="eastAsia"/>
                <w:szCs w:val="21"/>
              </w:rPr>
              <w:t>g、货物安装调试完毕，能正常运行。</w:t>
            </w:r>
          </w:p>
        </w:tc>
        <w:tc>
          <w:tcPr>
            <w:tcW w:w="1710" w:type="dxa"/>
          </w:tcPr>
          <w:p>
            <w:pPr>
              <w:tabs>
                <w:tab w:val="left" w:pos="1260"/>
              </w:tabs>
              <w:spacing w:line="340" w:lineRule="exact"/>
              <w:rPr>
                <w:szCs w:val="21"/>
              </w:rPr>
            </w:pPr>
          </w:p>
        </w:tc>
        <w:tc>
          <w:tcPr>
            <w:tcW w:w="1380" w:type="dxa"/>
          </w:tcPr>
          <w:p>
            <w:pPr>
              <w:tabs>
                <w:tab w:val="left" w:pos="1260"/>
              </w:tabs>
              <w:spacing w:line="340" w:lineRule="exact"/>
              <w:rPr>
                <w:szCs w:val="21"/>
              </w:rPr>
            </w:pPr>
          </w:p>
        </w:tc>
        <w:tc>
          <w:tcPr>
            <w:tcW w:w="1380" w:type="dxa"/>
          </w:tcPr>
          <w:p>
            <w:pPr>
              <w:tabs>
                <w:tab w:val="left" w:pos="1260"/>
              </w:tabs>
              <w:spacing w:line="3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Align w:val="center"/>
          </w:tcPr>
          <w:p>
            <w:pPr>
              <w:jc w:val="center"/>
              <w:rPr>
                <w:b/>
              </w:rPr>
            </w:pPr>
            <w:r>
              <w:rPr>
                <w:b/>
              </w:rPr>
              <w:t>4</w:t>
            </w:r>
          </w:p>
        </w:tc>
        <w:tc>
          <w:tcPr>
            <w:tcW w:w="1350" w:type="dxa"/>
            <w:vAlign w:val="center"/>
          </w:tcPr>
          <w:p>
            <w:pPr>
              <w:jc w:val="center"/>
            </w:pPr>
            <w:r>
              <w:rPr>
                <w:rFonts w:hint="eastAsia"/>
                <w:kern w:val="0"/>
                <w:szCs w:val="21"/>
              </w:rPr>
              <w:t>培训</w:t>
            </w:r>
          </w:p>
        </w:tc>
        <w:tc>
          <w:tcPr>
            <w:tcW w:w="2835" w:type="dxa"/>
            <w:vAlign w:val="center"/>
          </w:tcPr>
          <w:p>
            <w:pPr>
              <w:ind w:firstLine="417" w:firstLineChars="199"/>
              <w:rPr>
                <w:rFonts w:ascii="宋体" w:hAnsi="宋体"/>
                <w:b/>
                <w:color w:val="FF0000"/>
                <w:szCs w:val="21"/>
              </w:rPr>
            </w:pPr>
            <w:r>
              <w:rPr>
                <w:rFonts w:hint="eastAsia"/>
                <w:szCs w:val="21"/>
              </w:rPr>
              <w:t>投标人应派专业技术人员免费对采购单位指定人员进行定期培训及指导，直至其完全掌握货物的功能应用及基本故障处理技术。</w:t>
            </w:r>
          </w:p>
        </w:tc>
        <w:tc>
          <w:tcPr>
            <w:tcW w:w="1710" w:type="dxa"/>
            <w:vAlign w:val="center"/>
          </w:tcPr>
          <w:p>
            <w:pPr>
              <w:ind w:firstLine="417" w:firstLineChars="199"/>
              <w:rPr>
                <w:szCs w:val="21"/>
              </w:rPr>
            </w:pPr>
          </w:p>
        </w:tc>
        <w:tc>
          <w:tcPr>
            <w:tcW w:w="1380" w:type="dxa"/>
            <w:vAlign w:val="center"/>
          </w:tcPr>
          <w:p>
            <w:pPr>
              <w:ind w:firstLine="417" w:firstLineChars="199"/>
              <w:rPr>
                <w:szCs w:val="21"/>
              </w:rPr>
            </w:pPr>
          </w:p>
        </w:tc>
        <w:tc>
          <w:tcPr>
            <w:tcW w:w="1380" w:type="dxa"/>
            <w:vAlign w:val="center"/>
          </w:tcPr>
          <w:p>
            <w:pPr>
              <w:ind w:firstLine="417" w:firstLineChars="199"/>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9" w:type="dxa"/>
            <w:vMerge w:val="restart"/>
            <w:tcBorders>
              <w:bottom w:val="single" w:color="auto" w:sz="4" w:space="0"/>
            </w:tcBorders>
            <w:vAlign w:val="center"/>
          </w:tcPr>
          <w:p>
            <w:pPr>
              <w:jc w:val="center"/>
              <w:rPr>
                <w:b/>
              </w:rPr>
            </w:pPr>
            <w:r>
              <w:rPr>
                <w:b/>
              </w:rPr>
              <w:t>5</w:t>
            </w:r>
          </w:p>
        </w:tc>
        <w:tc>
          <w:tcPr>
            <w:tcW w:w="1350" w:type="dxa"/>
            <w:vMerge w:val="restart"/>
            <w:tcBorders>
              <w:bottom w:val="single" w:color="auto" w:sz="4" w:space="0"/>
            </w:tcBorders>
            <w:vAlign w:val="center"/>
          </w:tcPr>
          <w:p>
            <w:pPr>
              <w:jc w:val="center"/>
            </w:pPr>
            <w:r>
              <w:rPr>
                <w:rFonts w:hint="eastAsia"/>
              </w:rPr>
              <w:t>关于</w:t>
            </w:r>
            <w:r>
              <w:t>知识产权</w:t>
            </w:r>
          </w:p>
        </w:tc>
        <w:tc>
          <w:tcPr>
            <w:tcW w:w="2835" w:type="dxa"/>
            <w:tcBorders>
              <w:bottom w:val="single" w:color="auto" w:sz="4" w:space="0"/>
            </w:tcBorders>
          </w:tcPr>
          <w:p>
            <w:pPr>
              <w:rPr>
                <w:b/>
              </w:rPr>
            </w:pPr>
            <w:r>
              <w:rPr>
                <w:szCs w:val="21"/>
              </w:rPr>
              <w:t>5</w:t>
            </w:r>
            <w:r>
              <w:rPr>
                <w:rFonts w:hint="eastAsia"/>
                <w:szCs w:val="21"/>
              </w:rPr>
              <w:t>.1提供的货物必须是合法厂家生产和经销的原包装产品（包括零配件），必须具备生产日期、厂家、厂址、产品合格证等。</w:t>
            </w:r>
          </w:p>
        </w:tc>
        <w:tc>
          <w:tcPr>
            <w:tcW w:w="1710" w:type="dxa"/>
            <w:tcBorders>
              <w:bottom w:val="single" w:color="auto" w:sz="4" w:space="0"/>
            </w:tcBorders>
          </w:tcPr>
          <w:p>
            <w:pPr>
              <w:rPr>
                <w:szCs w:val="21"/>
              </w:rPr>
            </w:pPr>
          </w:p>
        </w:tc>
        <w:tc>
          <w:tcPr>
            <w:tcW w:w="1380" w:type="dxa"/>
            <w:tcBorders>
              <w:bottom w:val="single" w:color="auto" w:sz="4" w:space="0"/>
            </w:tcBorders>
          </w:tcPr>
          <w:p>
            <w:pPr>
              <w:rPr>
                <w:szCs w:val="21"/>
              </w:rPr>
            </w:pPr>
          </w:p>
        </w:tc>
        <w:tc>
          <w:tcPr>
            <w:tcW w:w="1380" w:type="dxa"/>
            <w:tcBorders>
              <w:bottom w:val="single" w:color="auto" w:sz="4"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Merge w:val="continue"/>
            <w:vAlign w:val="center"/>
          </w:tcPr>
          <w:p>
            <w:pPr>
              <w:jc w:val="center"/>
              <w:rPr>
                <w:b/>
              </w:rPr>
            </w:pPr>
          </w:p>
        </w:tc>
        <w:tc>
          <w:tcPr>
            <w:tcW w:w="1350" w:type="dxa"/>
            <w:vMerge w:val="continue"/>
            <w:vAlign w:val="center"/>
          </w:tcPr>
          <w:p>
            <w:pPr>
              <w:jc w:val="center"/>
            </w:pPr>
          </w:p>
        </w:tc>
        <w:tc>
          <w:tcPr>
            <w:tcW w:w="2835" w:type="dxa"/>
            <w:vAlign w:val="center"/>
          </w:tcPr>
          <w:p>
            <w:r>
              <w:rPr>
                <w:szCs w:val="21"/>
              </w:rPr>
              <w:t>5</w:t>
            </w:r>
            <w:r>
              <w:rPr>
                <w:rFonts w:hint="eastAsia"/>
                <w:szCs w:val="21"/>
              </w:rPr>
              <w:t>.2投标人应保证采购人在使用货物或其任何一部分时，免受第三方提出的侵犯其专利权、商标权、著作权或其它知识产权的起诉或司法干预。投标人保证所提供软件的合法性，</w:t>
            </w:r>
            <w:r>
              <w:rPr>
                <w:rFonts w:hint="eastAsia"/>
              </w:rPr>
              <w:t>如果发生上述起诉或干预，则其法律责任均由中标人负责。</w:t>
            </w:r>
            <w:r>
              <w:rPr>
                <w:rFonts w:hint="eastAsia"/>
                <w:szCs w:val="21"/>
              </w:rPr>
              <w:t>所发生的任何知识产权纠纷与采购人无关。</w:t>
            </w:r>
          </w:p>
        </w:tc>
        <w:tc>
          <w:tcPr>
            <w:tcW w:w="1710" w:type="dxa"/>
            <w:vAlign w:val="center"/>
          </w:tcPr>
          <w:p>
            <w:pPr>
              <w:rPr>
                <w:szCs w:val="21"/>
              </w:rPr>
            </w:pPr>
          </w:p>
        </w:tc>
        <w:tc>
          <w:tcPr>
            <w:tcW w:w="1380" w:type="dxa"/>
            <w:vAlign w:val="center"/>
          </w:tcPr>
          <w:p>
            <w:pPr>
              <w:rPr>
                <w:szCs w:val="21"/>
              </w:rPr>
            </w:pPr>
          </w:p>
        </w:tc>
        <w:tc>
          <w:tcPr>
            <w:tcW w:w="138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Merge w:val="continue"/>
            <w:vAlign w:val="center"/>
          </w:tcPr>
          <w:p>
            <w:pPr>
              <w:jc w:val="center"/>
              <w:rPr>
                <w:b/>
              </w:rPr>
            </w:pPr>
          </w:p>
        </w:tc>
        <w:tc>
          <w:tcPr>
            <w:tcW w:w="1350" w:type="dxa"/>
            <w:vMerge w:val="continue"/>
            <w:vAlign w:val="center"/>
          </w:tcPr>
          <w:p>
            <w:pPr>
              <w:jc w:val="center"/>
            </w:pPr>
          </w:p>
        </w:tc>
        <w:tc>
          <w:tcPr>
            <w:tcW w:w="2835" w:type="dxa"/>
            <w:vAlign w:val="center"/>
          </w:tcPr>
          <w:p>
            <w:r>
              <w:rPr>
                <w:szCs w:val="21"/>
              </w:rPr>
              <w:t>5</w:t>
            </w:r>
            <w:r>
              <w:rPr>
                <w:rFonts w:hint="eastAsia"/>
                <w:szCs w:val="21"/>
              </w:rPr>
              <w:t>.3采购人购买货物后，有权对该货物与其他货物进行配套、整合或适当改进，而免受侵犯专利权的起诉。</w:t>
            </w:r>
          </w:p>
        </w:tc>
        <w:tc>
          <w:tcPr>
            <w:tcW w:w="1710" w:type="dxa"/>
            <w:vAlign w:val="center"/>
          </w:tcPr>
          <w:p>
            <w:pPr>
              <w:rPr>
                <w:szCs w:val="21"/>
              </w:rPr>
            </w:pPr>
          </w:p>
        </w:tc>
        <w:tc>
          <w:tcPr>
            <w:tcW w:w="1380" w:type="dxa"/>
            <w:vAlign w:val="center"/>
          </w:tcPr>
          <w:p>
            <w:pPr>
              <w:rPr>
                <w:szCs w:val="21"/>
              </w:rPr>
            </w:pPr>
          </w:p>
        </w:tc>
        <w:tc>
          <w:tcPr>
            <w:tcW w:w="1380"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Align w:val="center"/>
          </w:tcPr>
          <w:p>
            <w:pPr>
              <w:jc w:val="center"/>
              <w:rPr>
                <w:b/>
              </w:rPr>
            </w:pPr>
            <w:r>
              <w:rPr>
                <w:b/>
              </w:rPr>
              <w:t>6</w:t>
            </w:r>
          </w:p>
        </w:tc>
        <w:tc>
          <w:tcPr>
            <w:tcW w:w="1350" w:type="dxa"/>
            <w:vAlign w:val="center"/>
          </w:tcPr>
          <w:p>
            <w:pPr>
              <w:jc w:val="center"/>
            </w:pPr>
            <w:r>
              <w:rPr>
                <w:rFonts w:hint="eastAsia"/>
              </w:rPr>
              <w:t>关于</w:t>
            </w:r>
            <w:r>
              <w:t>商检</w:t>
            </w:r>
          </w:p>
        </w:tc>
        <w:tc>
          <w:tcPr>
            <w:tcW w:w="2835" w:type="dxa"/>
          </w:tcPr>
          <w:p>
            <w:r>
              <w:rPr>
                <w:rFonts w:hint="eastAsia"/>
              </w:rPr>
              <w:t>依据相关法律法规要求，如</w:t>
            </w:r>
            <w:r>
              <w:t>所提供的货物需</w:t>
            </w:r>
            <w:r>
              <w:rPr>
                <w:rFonts w:hint="eastAsia"/>
              </w:rPr>
              <w:t>由国家商检部门进行商检的，商检、检疫费用由中标人承担。</w:t>
            </w:r>
          </w:p>
        </w:tc>
        <w:tc>
          <w:tcPr>
            <w:tcW w:w="1710" w:type="dxa"/>
          </w:tcPr>
          <w:p/>
        </w:tc>
        <w:tc>
          <w:tcPr>
            <w:tcW w:w="1380" w:type="dxa"/>
          </w:tcPr>
          <w:p/>
        </w:tc>
        <w:tc>
          <w:tcPr>
            <w:tcW w:w="13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Merge w:val="restart"/>
            <w:vAlign w:val="center"/>
          </w:tcPr>
          <w:p>
            <w:pPr>
              <w:jc w:val="center"/>
              <w:rPr>
                <w:b/>
              </w:rPr>
            </w:pPr>
            <w:r>
              <w:rPr>
                <w:b/>
              </w:rPr>
              <w:t>7</w:t>
            </w:r>
          </w:p>
        </w:tc>
        <w:tc>
          <w:tcPr>
            <w:tcW w:w="1350" w:type="dxa"/>
            <w:vMerge w:val="restart"/>
            <w:vAlign w:val="center"/>
          </w:tcPr>
          <w:p>
            <w:pPr>
              <w:jc w:val="center"/>
            </w:pPr>
            <w:r>
              <w:rPr>
                <w:rFonts w:hint="eastAsia"/>
              </w:rPr>
              <w:t>关于违约</w:t>
            </w:r>
          </w:p>
        </w:tc>
        <w:tc>
          <w:tcPr>
            <w:tcW w:w="2835" w:type="dxa"/>
            <w:vAlign w:val="center"/>
          </w:tcPr>
          <w:p>
            <w:r>
              <w:rPr>
                <w:spacing w:val="-3"/>
                <w:szCs w:val="21"/>
              </w:rPr>
              <w:t>7</w:t>
            </w:r>
            <w:r>
              <w:rPr>
                <w:rFonts w:hint="eastAsia"/>
                <w:spacing w:val="-3"/>
                <w:szCs w:val="21"/>
              </w:rPr>
              <w:t xml:space="preserve">.1中标人不能交货的，需偿付不能交货部分货款的 </w:t>
            </w:r>
            <w:r>
              <w:rPr>
                <w:rFonts w:hint="eastAsia"/>
                <w:b/>
                <w:bCs/>
                <w:color w:val="FF0000"/>
                <w:spacing w:val="-3"/>
                <w:szCs w:val="21"/>
                <w:u w:val="single"/>
              </w:rPr>
              <w:t>1.9 %</w:t>
            </w:r>
            <w:r>
              <w:rPr>
                <w:rFonts w:hint="eastAsia"/>
                <w:spacing w:val="-3"/>
                <w:szCs w:val="21"/>
              </w:rPr>
              <w:t>的违约金并按主管部门相关规定处理。</w:t>
            </w:r>
          </w:p>
        </w:tc>
        <w:tc>
          <w:tcPr>
            <w:tcW w:w="1710" w:type="dxa"/>
            <w:vAlign w:val="center"/>
          </w:tcPr>
          <w:p>
            <w:pPr>
              <w:rPr>
                <w:spacing w:val="-3"/>
                <w:szCs w:val="21"/>
              </w:rPr>
            </w:pPr>
          </w:p>
        </w:tc>
        <w:tc>
          <w:tcPr>
            <w:tcW w:w="1380" w:type="dxa"/>
            <w:vAlign w:val="center"/>
          </w:tcPr>
          <w:p>
            <w:pPr>
              <w:rPr>
                <w:spacing w:val="-3"/>
                <w:szCs w:val="21"/>
              </w:rPr>
            </w:pPr>
          </w:p>
        </w:tc>
        <w:tc>
          <w:tcPr>
            <w:tcW w:w="1380" w:type="dxa"/>
            <w:vAlign w:val="center"/>
          </w:tcPr>
          <w:p>
            <w:pPr>
              <w:rPr>
                <w:spacing w:val="-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Merge w:val="continue"/>
            <w:vAlign w:val="center"/>
          </w:tcPr>
          <w:p>
            <w:pPr>
              <w:jc w:val="center"/>
              <w:rPr>
                <w:b/>
              </w:rPr>
            </w:pPr>
          </w:p>
        </w:tc>
        <w:tc>
          <w:tcPr>
            <w:tcW w:w="1350" w:type="dxa"/>
            <w:vMerge w:val="continue"/>
            <w:vAlign w:val="center"/>
          </w:tcPr>
          <w:p>
            <w:pPr>
              <w:jc w:val="center"/>
            </w:pPr>
          </w:p>
        </w:tc>
        <w:tc>
          <w:tcPr>
            <w:tcW w:w="2835" w:type="dxa"/>
            <w:vAlign w:val="center"/>
          </w:tcPr>
          <w:p>
            <w:r>
              <w:rPr>
                <w:spacing w:val="-3"/>
                <w:szCs w:val="21"/>
              </w:rPr>
              <w:t>7.</w:t>
            </w:r>
            <w:r>
              <w:rPr>
                <w:rFonts w:hint="eastAsia"/>
                <w:spacing w:val="-3"/>
                <w:szCs w:val="21"/>
              </w:rPr>
              <w:t>2中标人逾期交货的，将被没收履约保证金并按主管部门相关规定处理。</w:t>
            </w:r>
          </w:p>
        </w:tc>
        <w:tc>
          <w:tcPr>
            <w:tcW w:w="1710" w:type="dxa"/>
            <w:vAlign w:val="center"/>
          </w:tcPr>
          <w:p>
            <w:pPr>
              <w:rPr>
                <w:spacing w:val="-3"/>
                <w:szCs w:val="21"/>
              </w:rPr>
            </w:pPr>
          </w:p>
        </w:tc>
        <w:tc>
          <w:tcPr>
            <w:tcW w:w="1380" w:type="dxa"/>
            <w:vAlign w:val="center"/>
          </w:tcPr>
          <w:p>
            <w:pPr>
              <w:rPr>
                <w:spacing w:val="-3"/>
                <w:szCs w:val="21"/>
              </w:rPr>
            </w:pPr>
          </w:p>
        </w:tc>
        <w:tc>
          <w:tcPr>
            <w:tcW w:w="1380" w:type="dxa"/>
            <w:vAlign w:val="center"/>
          </w:tcPr>
          <w:p>
            <w:pPr>
              <w:rPr>
                <w:spacing w:val="-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Merge w:val="continue"/>
            <w:vAlign w:val="center"/>
          </w:tcPr>
          <w:p>
            <w:pPr>
              <w:jc w:val="center"/>
              <w:rPr>
                <w:b/>
              </w:rPr>
            </w:pPr>
          </w:p>
        </w:tc>
        <w:tc>
          <w:tcPr>
            <w:tcW w:w="1350" w:type="dxa"/>
            <w:vMerge w:val="continue"/>
            <w:vAlign w:val="center"/>
          </w:tcPr>
          <w:p>
            <w:pPr>
              <w:jc w:val="center"/>
            </w:pPr>
          </w:p>
        </w:tc>
        <w:tc>
          <w:tcPr>
            <w:tcW w:w="2835" w:type="dxa"/>
            <w:vAlign w:val="center"/>
          </w:tcPr>
          <w:p>
            <w:r>
              <w:rPr>
                <w:spacing w:val="-3"/>
                <w:szCs w:val="21"/>
              </w:rPr>
              <w:t>7</w:t>
            </w:r>
            <w:r>
              <w:rPr>
                <w:rFonts w:hint="eastAsia"/>
                <w:spacing w:val="-3"/>
                <w:szCs w:val="21"/>
              </w:rPr>
              <w:t>.3中标人所交付产品、工程或服务不符合其投标承诺的，或在投标阶段为了中标而盲目虚假承诺、低价恶性竞争，在履约阶段则通过偷工减料、以次充好而获取利润的，将被没收履约保证金，并按主管部门相关规定处理。</w:t>
            </w:r>
          </w:p>
        </w:tc>
        <w:tc>
          <w:tcPr>
            <w:tcW w:w="1710" w:type="dxa"/>
            <w:vAlign w:val="center"/>
          </w:tcPr>
          <w:p>
            <w:pPr>
              <w:rPr>
                <w:spacing w:val="-3"/>
                <w:szCs w:val="21"/>
              </w:rPr>
            </w:pPr>
          </w:p>
        </w:tc>
        <w:tc>
          <w:tcPr>
            <w:tcW w:w="1380" w:type="dxa"/>
            <w:vAlign w:val="center"/>
          </w:tcPr>
          <w:p>
            <w:pPr>
              <w:rPr>
                <w:spacing w:val="-3"/>
                <w:szCs w:val="21"/>
              </w:rPr>
            </w:pPr>
          </w:p>
        </w:tc>
        <w:tc>
          <w:tcPr>
            <w:tcW w:w="1380" w:type="dxa"/>
            <w:vAlign w:val="center"/>
          </w:tcPr>
          <w:p>
            <w:pPr>
              <w:rPr>
                <w:spacing w:val="-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9" w:type="dxa"/>
            <w:vMerge w:val="continue"/>
            <w:vAlign w:val="center"/>
          </w:tcPr>
          <w:p>
            <w:pPr>
              <w:jc w:val="center"/>
              <w:rPr>
                <w:b/>
              </w:rPr>
            </w:pPr>
          </w:p>
        </w:tc>
        <w:tc>
          <w:tcPr>
            <w:tcW w:w="1350" w:type="dxa"/>
            <w:vMerge w:val="continue"/>
            <w:vAlign w:val="center"/>
          </w:tcPr>
          <w:p>
            <w:pPr>
              <w:jc w:val="center"/>
            </w:pPr>
          </w:p>
        </w:tc>
        <w:tc>
          <w:tcPr>
            <w:tcW w:w="2835" w:type="dxa"/>
            <w:vAlign w:val="center"/>
          </w:tcPr>
          <w:p>
            <w:r>
              <w:rPr>
                <w:spacing w:val="-3"/>
                <w:szCs w:val="21"/>
              </w:rPr>
              <w:t>7</w:t>
            </w:r>
            <w:r>
              <w:rPr>
                <w:rFonts w:hint="eastAsia"/>
                <w:spacing w:val="-3"/>
                <w:szCs w:val="21"/>
              </w:rPr>
              <w:t>.4</w:t>
            </w:r>
            <w:r>
              <w:rPr>
                <w:rFonts w:hint="eastAsia"/>
                <w:kern w:val="0"/>
                <w:szCs w:val="21"/>
              </w:rPr>
              <w:t xml:space="preserve">投标人逾期未交货物的，投标人向采购人每日偿付货物款 </w:t>
            </w:r>
            <w:r>
              <w:rPr>
                <w:rFonts w:hint="eastAsia"/>
                <w:b/>
                <w:bCs/>
                <w:color w:val="FF0000"/>
                <w:kern w:val="0"/>
                <w:szCs w:val="21"/>
                <w:u w:val="single"/>
              </w:rPr>
              <w:t xml:space="preserve">千分之十 </w:t>
            </w:r>
            <w:r>
              <w:rPr>
                <w:rFonts w:hint="eastAsia"/>
                <w:kern w:val="0"/>
                <w:szCs w:val="21"/>
              </w:rPr>
              <w:t>的违约金。投标人超过交货期限</w:t>
            </w:r>
            <w:r>
              <w:rPr>
                <w:rFonts w:hint="eastAsia"/>
                <w:b/>
                <w:bCs/>
                <w:color w:val="FF0000"/>
                <w:kern w:val="0"/>
                <w:szCs w:val="21"/>
                <w:u w:val="single"/>
              </w:rPr>
              <w:t xml:space="preserve"> 30 日</w:t>
            </w:r>
            <w:r>
              <w:rPr>
                <w:rFonts w:hint="eastAsia"/>
                <w:kern w:val="0"/>
                <w:szCs w:val="21"/>
              </w:rPr>
              <w:t>仍未交货，采购人有权解除合同。</w:t>
            </w:r>
          </w:p>
        </w:tc>
        <w:tc>
          <w:tcPr>
            <w:tcW w:w="1710" w:type="dxa"/>
            <w:vAlign w:val="center"/>
          </w:tcPr>
          <w:p>
            <w:pPr>
              <w:rPr>
                <w:spacing w:val="-3"/>
                <w:szCs w:val="21"/>
              </w:rPr>
            </w:pPr>
          </w:p>
        </w:tc>
        <w:tc>
          <w:tcPr>
            <w:tcW w:w="1380" w:type="dxa"/>
            <w:vAlign w:val="center"/>
          </w:tcPr>
          <w:p>
            <w:pPr>
              <w:rPr>
                <w:spacing w:val="-3"/>
                <w:szCs w:val="21"/>
              </w:rPr>
            </w:pPr>
          </w:p>
        </w:tc>
        <w:tc>
          <w:tcPr>
            <w:tcW w:w="1380" w:type="dxa"/>
            <w:vAlign w:val="center"/>
          </w:tcPr>
          <w:p>
            <w:pPr>
              <w:rPr>
                <w:spacing w:val="-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49" w:type="dxa"/>
            <w:vAlign w:val="center"/>
          </w:tcPr>
          <w:p>
            <w:pPr>
              <w:jc w:val="center"/>
              <w:rPr>
                <w:spacing w:val="-3"/>
                <w:szCs w:val="21"/>
              </w:rPr>
            </w:pPr>
            <w:r>
              <w:rPr>
                <w:rFonts w:hint="eastAsia"/>
                <w:spacing w:val="-3"/>
                <w:szCs w:val="21"/>
              </w:rPr>
              <w:t>8</w:t>
            </w:r>
          </w:p>
        </w:tc>
        <w:tc>
          <w:tcPr>
            <w:tcW w:w="1350" w:type="dxa"/>
            <w:vAlign w:val="center"/>
          </w:tcPr>
          <w:p>
            <w:pPr>
              <w:jc w:val="center"/>
              <w:rPr>
                <w:spacing w:val="-3"/>
                <w:szCs w:val="21"/>
              </w:rPr>
            </w:pPr>
            <w:r>
              <w:rPr>
                <w:rFonts w:hint="eastAsia"/>
                <w:spacing w:val="-3"/>
                <w:szCs w:val="21"/>
              </w:rPr>
              <w:t>付款方式</w:t>
            </w:r>
          </w:p>
        </w:tc>
        <w:tc>
          <w:tcPr>
            <w:tcW w:w="2835" w:type="dxa"/>
            <w:vAlign w:val="center"/>
          </w:tcPr>
          <w:p>
            <w:pPr>
              <w:ind w:firstLine="204" w:firstLineChars="100"/>
              <w:rPr>
                <w:spacing w:val="-3"/>
                <w:szCs w:val="21"/>
              </w:rPr>
            </w:pPr>
            <w:r>
              <w:rPr>
                <w:rFonts w:hint="eastAsia"/>
                <w:spacing w:val="-3"/>
                <w:szCs w:val="21"/>
              </w:rPr>
              <w:t>合同签订完毕，且货物验收合格后，提交整理报账资料，30天内申请支付全部货款。</w:t>
            </w:r>
          </w:p>
        </w:tc>
        <w:tc>
          <w:tcPr>
            <w:tcW w:w="1710" w:type="dxa"/>
            <w:vAlign w:val="center"/>
          </w:tcPr>
          <w:p>
            <w:pPr>
              <w:ind w:firstLine="204" w:firstLineChars="100"/>
              <w:rPr>
                <w:spacing w:val="-3"/>
                <w:szCs w:val="21"/>
                <w:highlight w:val="yellow"/>
              </w:rPr>
            </w:pPr>
          </w:p>
        </w:tc>
        <w:tc>
          <w:tcPr>
            <w:tcW w:w="1380" w:type="dxa"/>
            <w:vAlign w:val="center"/>
          </w:tcPr>
          <w:p>
            <w:pPr>
              <w:ind w:firstLine="204" w:firstLineChars="100"/>
              <w:rPr>
                <w:spacing w:val="-3"/>
                <w:szCs w:val="21"/>
                <w:highlight w:val="yellow"/>
              </w:rPr>
            </w:pPr>
          </w:p>
        </w:tc>
        <w:tc>
          <w:tcPr>
            <w:tcW w:w="1380" w:type="dxa"/>
            <w:vAlign w:val="center"/>
          </w:tcPr>
          <w:p>
            <w:pPr>
              <w:ind w:firstLine="204" w:firstLineChars="100"/>
              <w:rPr>
                <w:spacing w:val="-3"/>
                <w:szCs w:val="21"/>
                <w:highlight w:val="yellow"/>
              </w:rPr>
            </w:pPr>
          </w:p>
        </w:tc>
      </w:tr>
    </w:tbl>
    <w:p>
      <w:pPr>
        <w:rPr>
          <w:sz w:val="24"/>
        </w:rPr>
      </w:pPr>
    </w:p>
    <w:p>
      <w:pPr>
        <w:rPr>
          <w:sz w:val="24"/>
        </w:rPr>
      </w:pPr>
      <w:r>
        <w:rPr>
          <w:rFonts w:hint="eastAsia"/>
          <w:sz w:val="24"/>
        </w:rPr>
        <w:t>备注：</w:t>
      </w:r>
    </w:p>
    <w:p>
      <w:pPr>
        <w:rPr>
          <w:b/>
          <w:color w:val="FF0000"/>
          <w:sz w:val="24"/>
        </w:rPr>
      </w:pPr>
      <w:r>
        <w:rPr>
          <w:rFonts w:hint="eastAsia"/>
          <w:b/>
          <w:color w:val="FF0000"/>
          <w:sz w:val="24"/>
        </w:rPr>
        <w:t>1. “招标商务条款”一栏必须填写招标文件第二章“四、商务需求”的内容分别对应“</w:t>
      </w:r>
      <w:r>
        <w:rPr>
          <w:rFonts w:hint="eastAsia"/>
          <w:b/>
          <w:color w:val="FF0000"/>
          <w:sz w:val="24"/>
          <w:highlight w:val="yellow"/>
        </w:rPr>
        <w:t>（一）免费保修期内售后服务要求、（二）其他商务要求</w:t>
      </w:r>
      <w:r>
        <w:rPr>
          <w:rFonts w:hint="eastAsia"/>
          <w:b/>
          <w:color w:val="FF0000"/>
          <w:sz w:val="24"/>
        </w:rPr>
        <w:t>”的内容进行填写。</w:t>
      </w:r>
    </w:p>
    <w:p>
      <w:pPr>
        <w:rPr>
          <w:b/>
          <w:color w:val="FF0000"/>
          <w:sz w:val="24"/>
        </w:rPr>
      </w:pPr>
      <w:r>
        <w:rPr>
          <w:rFonts w:hint="eastAsia"/>
          <w:b/>
          <w:color w:val="FF0000"/>
          <w:sz w:val="24"/>
        </w:rPr>
        <w:t>2. “投标商务条款”一栏必须详细填写投标商务条款的内容。</w:t>
      </w:r>
    </w:p>
    <w:p>
      <w:pPr>
        <w:rPr>
          <w:sz w:val="24"/>
        </w:rPr>
      </w:pPr>
      <w:r>
        <w:rPr>
          <w:rFonts w:hint="eastAsia"/>
          <w:b/>
          <w:color w:val="FF0000"/>
          <w:sz w:val="24"/>
        </w:rPr>
        <w:t>3. “偏离情况”栏中应如实填写“正偏离”、“负偏离”或“无偏离”。</w:t>
      </w:r>
    </w:p>
    <w:p>
      <w:pPr>
        <w:rPr>
          <w:b/>
          <w:color w:val="FF0000"/>
          <w:sz w:val="24"/>
        </w:rPr>
      </w:pPr>
      <w:r>
        <w:rPr>
          <w:rFonts w:hint="eastAsia"/>
          <w:b/>
          <w:color w:val="FF0000"/>
          <w:sz w:val="24"/>
        </w:rPr>
        <w:t>3. 交货期条款为不可负偏离条款，投标文件响应为“负偏离”的，投标文件将按废标处理。</w:t>
      </w:r>
    </w:p>
    <w:p>
      <w:pPr>
        <w:rPr>
          <w:b/>
          <w:color w:val="FF0000"/>
          <w:sz w:val="24"/>
        </w:rPr>
      </w:pPr>
      <w:r>
        <w:rPr>
          <w:rFonts w:hint="eastAsia"/>
          <w:b/>
          <w:color w:val="FF0000"/>
          <w:sz w:val="24"/>
        </w:rPr>
        <w:t>4. 开标一览表中填写的“交货期”必须与本表填写的“交货期”一致。如填写不一致，以开标一览表填写的“交货期”为准。</w:t>
      </w:r>
    </w:p>
    <w:p>
      <w:pPr>
        <w:rPr>
          <w:sz w:val="24"/>
        </w:rPr>
      </w:pPr>
      <w:r>
        <w:rPr>
          <w:sz w:val="24"/>
        </w:rPr>
        <w:br w:type="page"/>
      </w:r>
    </w:p>
    <w:p>
      <w:pPr>
        <w:pStyle w:val="3"/>
        <w:jc w:val="center"/>
        <w:rPr>
          <w:rFonts w:ascii="黑体" w:eastAsia="黑体"/>
          <w:b w:val="0"/>
          <w:bCs w:val="0"/>
          <w:kern w:val="0"/>
          <w:sz w:val="24"/>
          <w:szCs w:val="20"/>
        </w:rPr>
      </w:pPr>
      <w:r>
        <w:rPr>
          <w:rFonts w:hint="eastAsia" w:ascii="黑体" w:eastAsia="黑体"/>
          <w:b w:val="0"/>
          <w:bCs w:val="0"/>
          <w:kern w:val="0"/>
          <w:sz w:val="24"/>
          <w:szCs w:val="20"/>
        </w:rPr>
        <w:t>十一、投标人认为需要加以说明的其他内容</w:t>
      </w:r>
    </w:p>
    <w:p/>
    <w:p/>
    <w:p/>
    <w:p/>
    <w:p>
      <w:r>
        <w:br w:type="page"/>
      </w:r>
    </w:p>
    <w:p>
      <w:pPr>
        <w:outlineLvl w:val="1"/>
        <w:rPr>
          <w:rFonts w:ascii="宋体" w:hAnsi="宋体"/>
          <w:b/>
          <w:color w:val="FF0000"/>
          <w:sz w:val="28"/>
          <w:szCs w:val="28"/>
        </w:rPr>
      </w:pPr>
      <w:r>
        <w:rPr>
          <w:rFonts w:hint="eastAsia" w:ascii="宋体" w:hAnsi="宋体"/>
          <w:b/>
          <w:color w:val="FF0000"/>
          <w:sz w:val="28"/>
          <w:szCs w:val="28"/>
        </w:rPr>
        <w:t>投标文件第二</w:t>
      </w:r>
      <w:r>
        <w:rPr>
          <w:rFonts w:ascii="宋体" w:hAnsi="宋体"/>
          <w:b/>
          <w:color w:val="FF0000"/>
          <w:sz w:val="28"/>
          <w:szCs w:val="28"/>
        </w:rPr>
        <w:t>部分</w:t>
      </w:r>
    </w:p>
    <w:p>
      <w:pPr>
        <w:pStyle w:val="3"/>
        <w:jc w:val="center"/>
        <w:rPr>
          <w:rFonts w:ascii="黑体" w:eastAsia="黑体"/>
          <w:b w:val="0"/>
          <w:kern w:val="0"/>
          <w:sz w:val="24"/>
        </w:rPr>
      </w:pPr>
      <w:r>
        <w:rPr>
          <w:rFonts w:hint="eastAsia" w:ascii="黑体" w:eastAsia="黑体"/>
          <w:b w:val="0"/>
          <w:kern w:val="0"/>
          <w:sz w:val="24"/>
        </w:rPr>
        <w:t>一、法定代表人证明书</w:t>
      </w:r>
    </w:p>
    <w:p>
      <w:pPr>
        <w:rPr>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，现任我单位</w:t>
      </w:r>
      <w:r>
        <w:rPr>
          <w:rFonts w:hint="eastAsia"/>
          <w:szCs w:val="21"/>
          <w:u w:val="single"/>
        </w:rPr>
        <w:t xml:space="preserve">         </w:t>
      </w:r>
      <w:r>
        <w:rPr>
          <w:rFonts w:hint="eastAsia"/>
          <w:szCs w:val="21"/>
        </w:rPr>
        <w:t>职务，为法定代表人，特此证明。</w:t>
      </w:r>
    </w:p>
    <w:p>
      <w:pPr>
        <w:spacing w:line="360" w:lineRule="auto"/>
        <w:rPr>
          <w:szCs w:val="21"/>
        </w:rPr>
      </w:pPr>
      <w:r>
        <w:rPr>
          <w:rFonts w:hint="eastAsia"/>
          <w:szCs w:val="21"/>
        </w:rPr>
        <w:t>有效日期：         签发日期：         单位：                （公章）</w:t>
      </w:r>
    </w:p>
    <w:p>
      <w:pPr>
        <w:spacing w:line="360" w:lineRule="auto"/>
        <w:rPr>
          <w:szCs w:val="21"/>
        </w:rPr>
      </w:pPr>
      <w:r>
        <w:rPr>
          <w:rFonts w:hint="eastAsia"/>
          <w:szCs w:val="21"/>
        </w:rPr>
        <w:t>附：代表人性别：   年龄：      身份证号码：</w:t>
      </w:r>
    </w:p>
    <w:p>
      <w:pPr>
        <w:spacing w:line="360" w:lineRule="auto"/>
        <w:rPr>
          <w:szCs w:val="21"/>
        </w:rPr>
      </w:pPr>
      <w:r>
        <w:rPr>
          <w:rFonts w:hint="eastAsia"/>
          <w:szCs w:val="21"/>
        </w:rPr>
        <w:t>营业执照号码：                 经济性质：</w:t>
      </w:r>
    </w:p>
    <w:p>
      <w:pPr>
        <w:spacing w:line="360" w:lineRule="auto"/>
        <w:rPr>
          <w:szCs w:val="21"/>
        </w:rPr>
      </w:pPr>
      <w:r>
        <w:rPr>
          <w:rFonts w:hint="eastAsia"/>
          <w:szCs w:val="21"/>
        </w:rPr>
        <w:t>主营（产）：</w:t>
      </w:r>
    </w:p>
    <w:p>
      <w:pPr>
        <w:spacing w:line="360" w:lineRule="auto"/>
        <w:rPr>
          <w:szCs w:val="21"/>
        </w:rPr>
      </w:pPr>
      <w:r>
        <w:rPr>
          <w:rFonts w:hint="eastAsia"/>
          <w:szCs w:val="21"/>
        </w:rPr>
        <w:t>兼营（产）：</w:t>
      </w:r>
    </w:p>
    <w:p>
      <w:pPr>
        <w:spacing w:line="360" w:lineRule="auto"/>
        <w:rPr>
          <w:szCs w:val="21"/>
        </w:rPr>
      </w:pPr>
    </w:p>
    <w:p>
      <w:pPr>
        <w:spacing w:line="360" w:lineRule="auto"/>
        <w:rPr>
          <w:szCs w:val="21"/>
        </w:rPr>
      </w:pPr>
      <w:r>
        <w:rPr>
          <w:rFonts w:hint="eastAsia"/>
          <w:szCs w:val="21"/>
        </w:rPr>
        <w:t>说明：1、法定代表人为企业事业单位、国家机关、社会团体的主要行政负责人。</w:t>
      </w:r>
    </w:p>
    <w:p>
      <w:pPr>
        <w:rPr>
          <w:szCs w:val="21"/>
        </w:rPr>
      </w:pPr>
      <w:r>
        <w:rPr>
          <w:rFonts w:hint="eastAsia"/>
          <w:szCs w:val="21"/>
        </w:rPr>
        <w:t xml:space="preserve">      2、内容必须填写真实、清楚，涂改无效，不得转让、买卖。</w:t>
      </w:r>
    </w:p>
    <w:p>
      <w:pPr>
        <w:rPr>
          <w:sz w:val="24"/>
        </w:rPr>
      </w:pPr>
    </w:p>
    <w:p>
      <w:pPr>
        <w:rPr>
          <w:b/>
          <w:bCs/>
          <w:sz w:val="24"/>
        </w:rPr>
      </w:pPr>
    </w:p>
    <w:p>
      <w:pPr>
        <w:pStyle w:val="3"/>
        <w:spacing w:before="120" w:after="120"/>
        <w:jc w:val="center"/>
        <w:rPr>
          <w:rFonts w:ascii="黑体" w:eastAsia="黑体"/>
          <w:b w:val="0"/>
          <w:kern w:val="0"/>
          <w:sz w:val="24"/>
        </w:rPr>
      </w:pPr>
      <w:r>
        <w:rPr>
          <w:rFonts w:hint="eastAsia" w:ascii="黑体" w:eastAsia="黑体"/>
          <w:b w:val="0"/>
          <w:kern w:val="0"/>
          <w:sz w:val="24"/>
        </w:rPr>
        <w:t>二、投标文件签署授权委托书</w:t>
      </w:r>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（投标人名称）的法定代表人，现授权委托</w:t>
      </w:r>
      <w:r>
        <w:rPr>
          <w:rFonts w:hint="eastAsia"/>
          <w:szCs w:val="21"/>
          <w:u w:val="single"/>
        </w:rPr>
        <w:t xml:space="preserve">                     </w:t>
      </w:r>
      <w:r>
        <w:rPr>
          <w:rFonts w:hint="eastAsia"/>
          <w:szCs w:val="21"/>
        </w:rPr>
        <w:t>（单位名称）的</w:t>
      </w:r>
      <w:r>
        <w:rPr>
          <w:rFonts w:hint="eastAsia"/>
          <w:szCs w:val="21"/>
          <w:u w:val="single"/>
        </w:rPr>
        <w:t xml:space="preserve">            </w:t>
      </w:r>
      <w:r>
        <w:rPr>
          <w:rFonts w:hint="eastAsia"/>
          <w:szCs w:val="21"/>
        </w:rPr>
        <w:t>（姓名）为我公司签署本项目递交的投标文件的法定代表人的授权委托代理人，代理人全权代表我所签署的本项目递交的投标文件内容我均承认。</w:t>
      </w:r>
    </w:p>
    <w:p>
      <w:pPr>
        <w:pStyle w:val="7"/>
        <w:spacing w:line="360" w:lineRule="auto"/>
        <w:rPr>
          <w:szCs w:val="21"/>
        </w:rPr>
      </w:pPr>
      <w:r>
        <w:rPr>
          <w:rFonts w:hint="eastAsia"/>
          <w:szCs w:val="21"/>
        </w:rPr>
        <w:t>有效期限：与本公司投标文件中标注的投标有效期相同，自法人代表签字之日起生效。</w:t>
      </w:r>
    </w:p>
    <w:p>
      <w:pPr>
        <w:pStyle w:val="7"/>
        <w:spacing w:line="360" w:lineRule="auto"/>
        <w:rPr>
          <w:szCs w:val="21"/>
        </w:rPr>
      </w:pPr>
      <w:r>
        <w:rPr>
          <w:rFonts w:hint="eastAsia"/>
          <w:szCs w:val="21"/>
        </w:rPr>
        <w:t>代理人无转委托权，特此委托。</w:t>
      </w:r>
    </w:p>
    <w:p>
      <w:pPr>
        <w:pStyle w:val="7"/>
        <w:spacing w:line="360" w:lineRule="auto"/>
        <w:rPr>
          <w:szCs w:val="21"/>
        </w:rPr>
      </w:pPr>
    </w:p>
    <w:p>
      <w:pPr>
        <w:spacing w:line="360" w:lineRule="auto"/>
        <w:ind w:left="540" w:leftChars="257"/>
        <w:rPr>
          <w:szCs w:val="21"/>
          <w:u w:val="single"/>
        </w:rPr>
      </w:pPr>
      <w:r>
        <w:rPr>
          <w:rFonts w:hint="eastAsia"/>
          <w:szCs w:val="21"/>
        </w:rPr>
        <w:t>代理人：</w:t>
      </w:r>
      <w:r>
        <w:rPr>
          <w:rFonts w:hint="eastAsia"/>
          <w:szCs w:val="21"/>
          <w:u w:val="single"/>
        </w:rPr>
        <w:t xml:space="preserve">                  </w:t>
      </w:r>
      <w:r>
        <w:rPr>
          <w:rFonts w:hint="eastAsia"/>
          <w:szCs w:val="21"/>
        </w:rPr>
        <w:t xml:space="preserve">  职务：</w:t>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p>
    <w:p>
      <w:pPr>
        <w:spacing w:line="360" w:lineRule="auto"/>
        <w:ind w:left="540" w:leftChars="257"/>
        <w:rPr>
          <w:szCs w:val="21"/>
          <w:u w:val="single"/>
        </w:rPr>
      </w:pPr>
      <w:r>
        <w:rPr>
          <w:rFonts w:hint="eastAsia"/>
          <w:szCs w:val="21"/>
        </w:rPr>
        <w:t>身份证号码：</w:t>
      </w:r>
      <w:r>
        <w:rPr>
          <w:rFonts w:hint="eastAsia"/>
          <w:szCs w:val="21"/>
          <w:u w:val="single"/>
        </w:rPr>
        <w:t xml:space="preserve">                        </w:t>
      </w:r>
    </w:p>
    <w:p>
      <w:pPr>
        <w:spacing w:line="360" w:lineRule="auto"/>
        <w:ind w:left="540" w:leftChars="257"/>
        <w:rPr>
          <w:szCs w:val="21"/>
        </w:rPr>
      </w:pPr>
    </w:p>
    <w:p>
      <w:pPr>
        <w:spacing w:line="360" w:lineRule="auto"/>
        <w:ind w:left="540" w:leftChars="257"/>
        <w:rPr>
          <w:szCs w:val="21"/>
        </w:rPr>
      </w:pPr>
      <w:r>
        <w:rPr>
          <w:rFonts w:hint="eastAsia"/>
          <w:szCs w:val="21"/>
        </w:rPr>
        <w:t>投标人（公司名称）：</w:t>
      </w:r>
      <w:r>
        <w:rPr>
          <w:rFonts w:hint="eastAsia"/>
          <w:szCs w:val="21"/>
          <w:u w:val="single"/>
        </w:rPr>
        <w:t xml:space="preserve">                                    </w:t>
      </w:r>
      <w:r>
        <w:rPr>
          <w:rFonts w:hint="eastAsia"/>
          <w:szCs w:val="21"/>
        </w:rPr>
        <w:t>（公章）</w:t>
      </w:r>
    </w:p>
    <w:p>
      <w:pPr>
        <w:spacing w:line="360" w:lineRule="auto"/>
        <w:ind w:left="540" w:leftChars="257"/>
        <w:rPr>
          <w:szCs w:val="21"/>
        </w:rPr>
      </w:pPr>
      <w:r>
        <w:rPr>
          <w:rFonts w:hint="eastAsia"/>
          <w:szCs w:val="21"/>
        </w:rPr>
        <w:t>法定代表人：</w:t>
      </w:r>
      <w:r>
        <w:rPr>
          <w:rFonts w:hint="eastAsia"/>
          <w:szCs w:val="21"/>
          <w:u w:val="single"/>
        </w:rPr>
        <w:t xml:space="preserve">                 </w:t>
      </w:r>
      <w:r>
        <w:rPr>
          <w:rFonts w:hint="eastAsia"/>
          <w:szCs w:val="21"/>
        </w:rPr>
        <w:t xml:space="preserve"> （签名或</w:t>
      </w:r>
      <w:r>
        <w:rPr>
          <w:szCs w:val="21"/>
        </w:rPr>
        <w:t>签章</w:t>
      </w:r>
      <w:r>
        <w:rPr>
          <w:rFonts w:hint="eastAsia"/>
          <w:szCs w:val="21"/>
        </w:rPr>
        <w:t>）</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
      <w:r>
        <w:br w:type="page"/>
      </w:r>
    </w:p>
    <w:p>
      <w:pPr>
        <w:pStyle w:val="3"/>
        <w:jc w:val="center"/>
        <w:rPr>
          <w:rFonts w:ascii="黑体" w:eastAsia="黑体"/>
          <w:b w:val="0"/>
          <w:sz w:val="24"/>
          <w:szCs w:val="24"/>
        </w:rPr>
      </w:pPr>
      <w:r>
        <w:rPr>
          <w:rFonts w:hint="eastAsia" w:ascii="黑体" w:eastAsia="黑体"/>
          <w:b w:val="0"/>
          <w:sz w:val="24"/>
          <w:szCs w:val="24"/>
        </w:rPr>
        <w:t>三、项目实施方案</w:t>
      </w:r>
    </w:p>
    <w:p>
      <w:pPr>
        <w:rPr>
          <w:sz w:val="24"/>
        </w:rPr>
      </w:pPr>
      <w:r>
        <w:rPr>
          <w:rFonts w:hint="eastAsia"/>
          <w:sz w:val="24"/>
        </w:rPr>
        <w:t>主要内容应包括(根据项目实际情况适当调整内容)：</w:t>
      </w:r>
    </w:p>
    <w:p>
      <w:pPr>
        <w:rPr>
          <w:sz w:val="24"/>
        </w:rPr>
      </w:pPr>
    </w:p>
    <w:p>
      <w:pPr>
        <w:rPr>
          <w:sz w:val="24"/>
        </w:rPr>
      </w:pPr>
      <w:r>
        <w:rPr>
          <w:rFonts w:hint="eastAsia"/>
          <w:sz w:val="24"/>
        </w:rPr>
        <w:t>1、项目交货期、实施进度表</w:t>
      </w:r>
    </w:p>
    <w:p>
      <w:pPr>
        <w:rPr>
          <w:sz w:val="24"/>
        </w:rPr>
      </w:pPr>
      <w:r>
        <w:rPr>
          <w:rFonts w:hint="eastAsia"/>
          <w:sz w:val="24"/>
        </w:rPr>
        <w:t>2、相关配套措施</w:t>
      </w:r>
    </w:p>
    <w:p>
      <w:pPr>
        <w:rPr>
          <w:b/>
          <w:bCs/>
          <w:color w:val="FF0000"/>
          <w:sz w:val="24"/>
        </w:rPr>
      </w:pPr>
      <w:r>
        <w:rPr>
          <w:rFonts w:hint="eastAsia"/>
          <w:b/>
          <w:bCs/>
          <w:color w:val="FF0000"/>
          <w:sz w:val="24"/>
        </w:rPr>
        <w:t>（备注：</w:t>
      </w:r>
      <w:r>
        <w:rPr>
          <w:rFonts w:hint="eastAsia"/>
          <w:b/>
          <w:color w:val="FF0000"/>
          <w:sz w:val="24"/>
        </w:rPr>
        <w:t>该部分须与“商务需求”承诺的内容相呼应，不得前后矛盾。</w:t>
      </w:r>
      <w:r>
        <w:rPr>
          <w:rFonts w:hint="eastAsia"/>
          <w:b/>
          <w:bCs/>
          <w:color w:val="FF0000"/>
          <w:sz w:val="24"/>
        </w:rPr>
        <w:t>）</w:t>
      </w:r>
    </w:p>
    <w:p>
      <w:pPr>
        <w:rPr>
          <w:b/>
          <w:bCs/>
          <w:sz w:val="24"/>
        </w:rPr>
      </w:pPr>
    </w:p>
    <w:p>
      <w:pPr>
        <w:pStyle w:val="3"/>
        <w:jc w:val="center"/>
        <w:rPr>
          <w:rFonts w:ascii="黑体" w:eastAsia="黑体"/>
          <w:b w:val="0"/>
          <w:sz w:val="24"/>
          <w:szCs w:val="24"/>
        </w:rPr>
      </w:pPr>
      <w:r>
        <w:rPr>
          <w:rFonts w:hint="eastAsia" w:ascii="黑体" w:eastAsia="黑体"/>
          <w:b w:val="0"/>
          <w:sz w:val="24"/>
          <w:szCs w:val="24"/>
        </w:rPr>
        <w:t>四、售后服务方案</w:t>
      </w:r>
    </w:p>
    <w:p>
      <w:pPr>
        <w:rPr>
          <w:sz w:val="24"/>
        </w:rPr>
      </w:pPr>
    </w:p>
    <w:p>
      <w:pPr>
        <w:rPr>
          <w:sz w:val="24"/>
        </w:rPr>
      </w:pPr>
      <w:r>
        <w:rPr>
          <w:rFonts w:hint="eastAsia"/>
          <w:sz w:val="24"/>
        </w:rPr>
        <w:t>主要内容应包括(根据项目实际情况适当调整内容)：</w:t>
      </w:r>
    </w:p>
    <w:p>
      <w:pPr>
        <w:rPr>
          <w:sz w:val="24"/>
        </w:rPr>
      </w:pPr>
      <w:r>
        <w:rPr>
          <w:sz w:val="24"/>
        </w:rPr>
        <w:t>1</w:t>
      </w:r>
      <w:r>
        <w:rPr>
          <w:rFonts w:hint="eastAsia"/>
          <w:sz w:val="24"/>
        </w:rPr>
        <w:t>、免费保修期；</w:t>
      </w:r>
    </w:p>
    <w:p>
      <w:pPr>
        <w:rPr>
          <w:sz w:val="24"/>
        </w:rPr>
      </w:pPr>
      <w:r>
        <w:rPr>
          <w:sz w:val="24"/>
        </w:rPr>
        <w:t>2</w:t>
      </w:r>
      <w:r>
        <w:rPr>
          <w:rFonts w:hint="eastAsia"/>
          <w:sz w:val="24"/>
        </w:rPr>
        <w:t>、故障或技术支持响应时间；</w:t>
      </w:r>
    </w:p>
    <w:p>
      <w:pPr>
        <w:rPr>
          <w:sz w:val="24"/>
        </w:rPr>
      </w:pPr>
      <w:r>
        <w:rPr>
          <w:sz w:val="24"/>
        </w:rPr>
        <w:t>3</w:t>
      </w:r>
      <w:r>
        <w:rPr>
          <w:rFonts w:hint="eastAsia"/>
          <w:sz w:val="24"/>
        </w:rPr>
        <w:t>、投标人承诺的其他维修维护方案、措施</w:t>
      </w:r>
    </w:p>
    <w:p>
      <w:pPr>
        <w:rPr>
          <w:sz w:val="24"/>
        </w:rPr>
      </w:pPr>
      <w:r>
        <w:rPr>
          <w:sz w:val="24"/>
        </w:rPr>
        <w:t>4</w:t>
      </w:r>
      <w:r>
        <w:rPr>
          <w:rFonts w:hint="eastAsia"/>
          <w:sz w:val="24"/>
        </w:rPr>
        <w:t>、质量保证及违约承诺。</w:t>
      </w:r>
    </w:p>
    <w:p>
      <w:pPr>
        <w:rPr>
          <w:b/>
          <w:color w:val="FF0000"/>
          <w:sz w:val="24"/>
        </w:rPr>
      </w:pPr>
      <w:r>
        <w:rPr>
          <w:rFonts w:hint="eastAsia"/>
          <w:b/>
          <w:color w:val="FF0000"/>
          <w:sz w:val="24"/>
        </w:rPr>
        <w:t>（备注：该部分须与“商务需求”承诺的内容相呼应，不得前后矛盾。）</w:t>
      </w:r>
    </w:p>
    <w:p/>
    <w:p>
      <w:r>
        <w:br w:type="page"/>
      </w:r>
    </w:p>
    <w:p>
      <w:pPr>
        <w:pStyle w:val="5"/>
        <w:rPr>
          <w:kern w:val="2"/>
          <w:sz w:val="32"/>
          <w:szCs w:val="32"/>
        </w:rPr>
      </w:pPr>
      <w:r>
        <w:rPr>
          <w:rFonts w:hint="eastAsia"/>
          <w:kern w:val="2"/>
          <w:sz w:val="32"/>
          <w:szCs w:val="32"/>
        </w:rPr>
        <w:t>第四章</w:t>
      </w:r>
      <w:r>
        <w:rPr>
          <w:kern w:val="2"/>
          <w:sz w:val="32"/>
          <w:szCs w:val="32"/>
        </w:rPr>
        <w:t xml:space="preserve"> </w:t>
      </w:r>
      <w:r>
        <w:rPr>
          <w:rFonts w:hint="eastAsia"/>
          <w:kern w:val="2"/>
          <w:sz w:val="32"/>
          <w:szCs w:val="32"/>
        </w:rPr>
        <w:t xml:space="preserve"> 合同条款及格式（仅供参考）</w:t>
      </w:r>
    </w:p>
    <w:p>
      <w:pPr>
        <w:pStyle w:val="4"/>
        <w:jc w:val="center"/>
      </w:pPr>
      <w:r>
        <w:rPr>
          <w:rFonts w:hint="eastAsia"/>
        </w:rPr>
        <w:t>有专业类别的格式合同范本请选择相应的合同</w:t>
      </w:r>
    </w:p>
    <w:p>
      <w:pPr>
        <w:pStyle w:val="5"/>
        <w:rPr>
          <w:kern w:val="2"/>
        </w:rPr>
      </w:pPr>
      <w:r>
        <w:rPr>
          <w:rFonts w:hint="eastAsia"/>
        </w:rPr>
        <w:t>一、</w:t>
      </w:r>
      <w:r>
        <w:rPr>
          <w:rFonts w:hint="eastAsia"/>
          <w:kern w:val="2"/>
        </w:rPr>
        <w:t>合同条款及格式</w:t>
      </w:r>
    </w:p>
    <w:p>
      <w:pPr>
        <w:jc w:val="center"/>
        <w:rPr>
          <w:b/>
          <w:sz w:val="24"/>
        </w:rPr>
      </w:pPr>
      <w:r>
        <w:rPr>
          <w:rFonts w:hint="eastAsia"/>
          <w:b/>
          <w:sz w:val="24"/>
        </w:rPr>
        <w:t>（仅供参考）</w:t>
      </w:r>
    </w:p>
    <w:p>
      <w:pPr>
        <w:jc w:val="left"/>
        <w:rPr>
          <w:szCs w:val="21"/>
        </w:rPr>
      </w:pPr>
      <w:r>
        <w:rPr>
          <w:rFonts w:hint="eastAsia"/>
          <w:szCs w:val="21"/>
        </w:rPr>
        <w:t>采购人：</w:t>
      </w:r>
      <w:r>
        <w:rPr>
          <w:rFonts w:hint="eastAsia"/>
          <w:szCs w:val="21"/>
          <w:u w:val="single"/>
        </w:rPr>
        <w:t xml:space="preserve">           </w:t>
      </w:r>
    </w:p>
    <w:p>
      <w:pPr>
        <w:jc w:val="left"/>
        <w:rPr>
          <w:szCs w:val="21"/>
        </w:rPr>
      </w:pPr>
      <w:r>
        <w:rPr>
          <w:rFonts w:hint="eastAsia"/>
          <w:szCs w:val="21"/>
        </w:rPr>
        <w:t>供应商：</w:t>
      </w:r>
      <w:r>
        <w:rPr>
          <w:rFonts w:hint="eastAsia"/>
          <w:szCs w:val="21"/>
          <w:u w:val="single"/>
        </w:rPr>
        <w:t xml:space="preserve">           </w:t>
      </w:r>
    </w:p>
    <w:p>
      <w:pPr>
        <w:jc w:val="left"/>
        <w:rPr>
          <w:sz w:val="24"/>
        </w:rPr>
      </w:pPr>
    </w:p>
    <w:p>
      <w:pPr>
        <w:spacing w:line="360" w:lineRule="auto"/>
        <w:ind w:firstLine="560"/>
        <w:jc w:val="left"/>
        <w:rPr>
          <w:szCs w:val="21"/>
        </w:rPr>
      </w:pPr>
      <w:r>
        <w:rPr>
          <w:rFonts w:hint="eastAsia"/>
          <w:szCs w:val="21"/>
        </w:rPr>
        <w:t>根据深圳大学总医院招投标管理办公室</w:t>
      </w:r>
      <w:r>
        <w:rPr>
          <w:rFonts w:hint="eastAsia"/>
          <w:szCs w:val="21"/>
          <w:u w:val="single"/>
        </w:rPr>
        <w:t xml:space="preserve">        </w:t>
      </w:r>
      <w:r>
        <w:rPr>
          <w:rFonts w:hint="eastAsia"/>
          <w:szCs w:val="21"/>
        </w:rPr>
        <w:t>号招标项目的投标结果，由</w:t>
      </w:r>
      <w:r>
        <w:rPr>
          <w:rFonts w:hint="eastAsia"/>
          <w:szCs w:val="21"/>
          <w:u w:val="single"/>
        </w:rPr>
        <w:t xml:space="preserve">       </w:t>
      </w:r>
      <w:r>
        <w:rPr>
          <w:rFonts w:hint="eastAsia"/>
          <w:szCs w:val="21"/>
        </w:rPr>
        <w:t>单位为中标方。按照《中华人民共和国合同法》和《深圳经济特区政府采购条例》，经深圳大学总医院（以下简称甲方）和</w:t>
      </w:r>
      <w:r>
        <w:rPr>
          <w:rFonts w:hint="eastAsia"/>
          <w:szCs w:val="21"/>
          <w:u w:val="single"/>
        </w:rPr>
        <w:t xml:space="preserve">           </w:t>
      </w:r>
      <w:r>
        <w:rPr>
          <w:rFonts w:hint="eastAsia"/>
          <w:szCs w:val="21"/>
        </w:rPr>
        <w:t>单位（以下简称乙方）协商，达成以下合同条款：</w:t>
      </w:r>
    </w:p>
    <w:p>
      <w:pPr>
        <w:spacing w:line="360" w:lineRule="auto"/>
        <w:ind w:firstLine="560"/>
        <w:jc w:val="left"/>
        <w:rPr>
          <w:b/>
          <w:szCs w:val="21"/>
        </w:rPr>
      </w:pPr>
      <w:r>
        <w:rPr>
          <w:rFonts w:hint="eastAsia"/>
          <w:b/>
          <w:szCs w:val="21"/>
        </w:rPr>
        <w:t>第一条  合同标的</w:t>
      </w:r>
    </w:p>
    <w:p>
      <w:pPr>
        <w:spacing w:line="360" w:lineRule="auto"/>
        <w:ind w:firstLine="560"/>
        <w:jc w:val="left"/>
        <w:rPr>
          <w:szCs w:val="21"/>
        </w:rPr>
      </w:pPr>
      <w:r>
        <w:rPr>
          <w:rFonts w:hint="eastAsia"/>
          <w:szCs w:val="21"/>
        </w:rPr>
        <w:t>乙方根据甲方需求提供下列货物：</w:t>
      </w:r>
    </w:p>
    <w:p>
      <w:pPr>
        <w:spacing w:line="360" w:lineRule="auto"/>
        <w:ind w:firstLine="560"/>
        <w:jc w:val="left"/>
        <w:rPr>
          <w:szCs w:val="21"/>
        </w:rPr>
      </w:pPr>
      <w:r>
        <w:rPr>
          <w:rFonts w:hint="eastAsia"/>
          <w:szCs w:val="21"/>
        </w:rPr>
        <w:t>货物名称、规格及数量详见</w:t>
      </w:r>
      <w:r>
        <w:rPr>
          <w:rFonts w:hint="eastAsia"/>
          <w:b/>
          <w:szCs w:val="21"/>
          <w:u w:val="single"/>
        </w:rPr>
        <w:t xml:space="preserve">                  </w:t>
      </w:r>
      <w:r>
        <w:rPr>
          <w:rFonts w:hint="eastAsia"/>
          <w:szCs w:val="21"/>
        </w:rPr>
        <w:t>。</w:t>
      </w:r>
    </w:p>
    <w:p>
      <w:pPr>
        <w:spacing w:line="360" w:lineRule="auto"/>
        <w:ind w:firstLine="560"/>
        <w:jc w:val="left"/>
        <w:rPr>
          <w:b/>
          <w:szCs w:val="21"/>
        </w:rPr>
      </w:pPr>
      <w:r>
        <w:rPr>
          <w:rFonts w:hint="eastAsia"/>
          <w:b/>
          <w:szCs w:val="21"/>
        </w:rPr>
        <w:t>第二条  合同价款</w:t>
      </w:r>
    </w:p>
    <w:p>
      <w:pPr>
        <w:spacing w:line="360" w:lineRule="auto"/>
        <w:ind w:firstLine="560"/>
        <w:jc w:val="left"/>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。本合同总价款已包括乙方为履行本合同义务所发生的一切费用，系固定不变价格，且不随通货膨胀的影响而波动。</w:t>
      </w:r>
    </w:p>
    <w:p>
      <w:pPr>
        <w:spacing w:line="360" w:lineRule="auto"/>
        <w:ind w:firstLine="560"/>
        <w:jc w:val="left"/>
        <w:rPr>
          <w:b/>
          <w:szCs w:val="21"/>
        </w:rPr>
      </w:pPr>
      <w:r>
        <w:rPr>
          <w:rFonts w:hint="eastAsia"/>
          <w:b/>
          <w:szCs w:val="21"/>
        </w:rPr>
        <w:t>第三条  权利保证</w:t>
      </w:r>
    </w:p>
    <w:p>
      <w:pPr>
        <w:spacing w:line="360" w:lineRule="auto"/>
        <w:ind w:firstLine="560"/>
        <w:jc w:val="left"/>
        <w:rPr>
          <w:rFonts w:ascii="宋体" w:hAnsi="宋体"/>
          <w:szCs w:val="21"/>
        </w:rPr>
      </w:pPr>
      <w:r>
        <w:rPr>
          <w:rFonts w:hint="eastAsia" w:ascii="宋体" w:hAnsi="宋体"/>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560"/>
        <w:jc w:val="left"/>
        <w:rPr>
          <w:b/>
          <w:szCs w:val="21"/>
        </w:rPr>
      </w:pPr>
      <w:r>
        <w:rPr>
          <w:rFonts w:hint="eastAsia"/>
          <w:b/>
          <w:szCs w:val="21"/>
        </w:rPr>
        <w:t>第四条  质量保证</w:t>
      </w:r>
    </w:p>
    <w:p>
      <w:pPr>
        <w:spacing w:line="360" w:lineRule="auto"/>
        <w:ind w:firstLine="560"/>
        <w:jc w:val="left"/>
        <w:rPr>
          <w:rFonts w:ascii="宋体" w:hAnsi="宋体"/>
          <w:szCs w:val="21"/>
        </w:rPr>
      </w:pPr>
      <w:r>
        <w:rPr>
          <w:rFonts w:hint="eastAsia" w:ascii="宋体" w:hAnsi="宋体"/>
          <w:szCs w:val="21"/>
        </w:rPr>
        <w:t>1、乙方所提供的货物的技术规格符合招标文件规定的技术规格，货物符合中华人民共和国的设计和制造生产标准或行业标准。</w:t>
      </w:r>
    </w:p>
    <w:p>
      <w:pPr>
        <w:spacing w:line="360" w:lineRule="auto"/>
        <w:ind w:firstLine="560"/>
        <w:jc w:val="left"/>
        <w:rPr>
          <w:rFonts w:ascii="宋体" w:hAnsi="宋体"/>
          <w:szCs w:val="21"/>
        </w:rPr>
      </w:pPr>
      <w:r>
        <w:rPr>
          <w:rFonts w:hint="eastAsia" w:ascii="宋体" w:hAnsi="宋体"/>
          <w:szCs w:val="21"/>
        </w:rPr>
        <w:t>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560"/>
        <w:jc w:val="left"/>
        <w:rPr>
          <w:rFonts w:ascii="宋体" w:hAnsi="宋体"/>
          <w:szCs w:val="21"/>
        </w:rPr>
      </w:pPr>
      <w:r>
        <w:rPr>
          <w:rFonts w:hint="eastAsia" w:ascii="宋体" w:hAnsi="宋体"/>
          <w:szCs w:val="21"/>
        </w:rPr>
        <w:t>3、乙方保证交货时一并提供货物的质量合格凭证或文件。</w:t>
      </w:r>
    </w:p>
    <w:p>
      <w:pPr>
        <w:spacing w:line="360" w:lineRule="auto"/>
        <w:ind w:firstLine="560"/>
        <w:jc w:val="left"/>
        <w:rPr>
          <w:rFonts w:ascii="宋体" w:hAnsi="宋体"/>
          <w:szCs w:val="21"/>
        </w:rPr>
      </w:pPr>
    </w:p>
    <w:p>
      <w:pPr>
        <w:spacing w:line="360" w:lineRule="auto"/>
        <w:ind w:firstLine="560"/>
        <w:jc w:val="left"/>
        <w:rPr>
          <w:rFonts w:ascii="宋体" w:hAnsi="宋体"/>
          <w:szCs w:val="21"/>
        </w:rPr>
      </w:pPr>
    </w:p>
    <w:p>
      <w:pPr>
        <w:spacing w:line="360" w:lineRule="auto"/>
        <w:ind w:firstLine="560"/>
        <w:jc w:val="left"/>
        <w:rPr>
          <w:b/>
          <w:szCs w:val="21"/>
        </w:rPr>
      </w:pPr>
      <w:r>
        <w:rPr>
          <w:rFonts w:hint="eastAsia"/>
          <w:b/>
          <w:szCs w:val="21"/>
        </w:rPr>
        <w:t>第五条  交货和验收</w:t>
      </w:r>
    </w:p>
    <w:p>
      <w:pPr>
        <w:spacing w:line="360" w:lineRule="auto"/>
        <w:ind w:firstLine="560"/>
        <w:jc w:val="left"/>
        <w:rPr>
          <w:rFonts w:ascii="宋体" w:hAnsi="宋体"/>
          <w:szCs w:val="21"/>
        </w:rPr>
      </w:pPr>
      <w:r>
        <w:rPr>
          <w:rFonts w:hint="eastAsia" w:ascii="宋体" w:hAnsi="宋体"/>
          <w:szCs w:val="21"/>
        </w:rPr>
        <w:t>1、乙方应按照本合同或招投标文件规定的时间和方式向甲方交付货物，交货地点由甲方指定。因交货产生的费用由乙方自行承担。</w:t>
      </w:r>
    </w:p>
    <w:p>
      <w:pPr>
        <w:spacing w:line="360" w:lineRule="auto"/>
        <w:ind w:firstLine="560"/>
        <w:jc w:val="left"/>
        <w:rPr>
          <w:rFonts w:ascii="宋体" w:hAnsi="宋体"/>
          <w:szCs w:val="21"/>
        </w:rPr>
      </w:pPr>
      <w:r>
        <w:rPr>
          <w:rFonts w:hint="eastAsia" w:ascii="宋体" w:hAnsi="宋体"/>
          <w:szCs w:val="21"/>
        </w:rPr>
        <w:t>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560"/>
        <w:jc w:val="left"/>
        <w:rPr>
          <w:rFonts w:ascii="宋体" w:hAnsi="宋体"/>
          <w:szCs w:val="21"/>
        </w:rPr>
      </w:pPr>
      <w:r>
        <w:rPr>
          <w:rFonts w:hint="eastAsia" w:ascii="宋体" w:hAnsi="宋体"/>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560"/>
        <w:jc w:val="left"/>
        <w:rPr>
          <w:rFonts w:ascii="宋体" w:hAnsi="宋体"/>
          <w:szCs w:val="21"/>
        </w:rPr>
      </w:pPr>
      <w:r>
        <w:rPr>
          <w:rFonts w:hint="eastAsia" w:ascii="宋体" w:hAnsi="宋体"/>
          <w:szCs w:val="21"/>
        </w:rPr>
        <w:t>4、甲方应当在到货后的</w:t>
      </w:r>
      <w:r>
        <w:rPr>
          <w:rFonts w:hint="eastAsia" w:ascii="宋体" w:hAnsi="宋体"/>
          <w:szCs w:val="21"/>
          <w:u w:val="single"/>
        </w:rPr>
        <w:t xml:space="preserve">       </w:t>
      </w:r>
      <w:r>
        <w:rPr>
          <w:rFonts w:hint="eastAsia" w:ascii="宋体" w:hAnsi="宋体"/>
          <w:szCs w:val="21"/>
        </w:rPr>
        <w:t>个工作日内对货物进行验收；需要乙方对货物或系统进行安装调试的，甲方应在货物安装调试完毕后的</w:t>
      </w:r>
      <w:r>
        <w:rPr>
          <w:rFonts w:hint="eastAsia" w:ascii="宋体" w:hAnsi="宋体"/>
          <w:szCs w:val="21"/>
          <w:u w:val="single"/>
        </w:rPr>
        <w:t xml:space="preserve">       </w:t>
      </w:r>
      <w:r>
        <w:rPr>
          <w:rFonts w:hint="eastAsia" w:ascii="宋体" w:hAnsi="宋体"/>
          <w:szCs w:val="21"/>
        </w:rPr>
        <w:t>个工作日内进行质量验收。</w:t>
      </w:r>
    </w:p>
    <w:p>
      <w:pPr>
        <w:spacing w:line="360" w:lineRule="auto"/>
        <w:ind w:firstLine="560"/>
        <w:jc w:val="left"/>
        <w:rPr>
          <w:b/>
          <w:szCs w:val="21"/>
        </w:rPr>
      </w:pPr>
      <w:r>
        <w:rPr>
          <w:rFonts w:hint="eastAsia"/>
          <w:b/>
          <w:szCs w:val="21"/>
        </w:rPr>
        <w:t>第六条  保修及其他服务</w:t>
      </w:r>
    </w:p>
    <w:p>
      <w:pPr>
        <w:spacing w:line="360" w:lineRule="auto"/>
        <w:ind w:firstLine="560"/>
        <w:jc w:val="left"/>
        <w:rPr>
          <w:rFonts w:ascii="宋体" w:hAnsi="宋体"/>
          <w:szCs w:val="21"/>
        </w:rPr>
      </w:pPr>
      <w:r>
        <w:rPr>
          <w:rFonts w:hint="eastAsia" w:ascii="宋体" w:hAnsi="宋体"/>
          <w:szCs w:val="21"/>
        </w:rPr>
        <w:t>1、乙方应按照国家有关法律法规规章和“三包”规定和招标文件的要求及乙方在投标文件的相关承诺提供保修及其他服务。</w:t>
      </w:r>
    </w:p>
    <w:p>
      <w:pPr>
        <w:spacing w:line="360" w:lineRule="auto"/>
        <w:ind w:firstLine="560"/>
        <w:jc w:val="left"/>
        <w:rPr>
          <w:rFonts w:ascii="宋体" w:hAnsi="宋体"/>
          <w:szCs w:val="21"/>
        </w:rPr>
      </w:pPr>
      <w:r>
        <w:rPr>
          <w:rFonts w:hint="eastAsia" w:ascii="宋体" w:hAnsi="宋体"/>
          <w:szCs w:val="21"/>
        </w:rPr>
        <w:t>2、</w:t>
      </w:r>
      <w:r>
        <w:rPr>
          <w:rFonts w:ascii="宋体" w:hAnsi="宋体"/>
          <w:szCs w:val="21"/>
        </w:rPr>
        <w:t>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spacing w:line="360" w:lineRule="auto"/>
        <w:ind w:firstLine="560"/>
        <w:jc w:val="left"/>
        <w:rPr>
          <w:b/>
          <w:szCs w:val="21"/>
        </w:rPr>
      </w:pPr>
      <w:r>
        <w:rPr>
          <w:rFonts w:hint="eastAsia"/>
          <w:b/>
          <w:szCs w:val="21"/>
        </w:rPr>
        <w:t>第七条  履约保证金</w:t>
      </w:r>
    </w:p>
    <w:p>
      <w:pPr>
        <w:spacing w:line="360" w:lineRule="auto"/>
        <w:ind w:firstLine="560"/>
        <w:jc w:val="left"/>
        <w:rPr>
          <w:rFonts w:ascii="宋体" w:hAnsi="宋体"/>
          <w:szCs w:val="21"/>
        </w:rPr>
      </w:pPr>
      <w:r>
        <w:rPr>
          <w:rFonts w:hint="eastAsia" w:ascii="宋体" w:hAnsi="宋体"/>
          <w:szCs w:val="21"/>
        </w:rPr>
        <w:t>1、乙方应在签订本合同之日，向甲方或甲方指定的机构提交履约保证金_________元。</w:t>
      </w:r>
    </w:p>
    <w:p>
      <w:pPr>
        <w:spacing w:line="360" w:lineRule="auto"/>
        <w:ind w:firstLine="560"/>
        <w:jc w:val="left"/>
        <w:rPr>
          <w:rFonts w:ascii="宋体" w:hAnsi="宋体"/>
          <w:szCs w:val="21"/>
        </w:rPr>
      </w:pPr>
      <w:r>
        <w:rPr>
          <w:rFonts w:hint="eastAsia" w:ascii="宋体" w:hAnsi="宋体"/>
          <w:szCs w:val="21"/>
        </w:rPr>
        <w:t>2、如乙方未能履行合同规定的义务，甲方有权从履约保证金中取得补偿。</w:t>
      </w:r>
    </w:p>
    <w:p>
      <w:pPr>
        <w:spacing w:line="360" w:lineRule="auto"/>
        <w:ind w:firstLine="560"/>
        <w:jc w:val="left"/>
        <w:rPr>
          <w:rFonts w:ascii="宋体" w:hAnsi="宋体"/>
          <w:szCs w:val="21"/>
        </w:rPr>
      </w:pPr>
      <w:r>
        <w:rPr>
          <w:rFonts w:hint="eastAsia" w:ascii="宋体" w:hAnsi="宋体"/>
          <w:szCs w:val="21"/>
        </w:rPr>
        <w:t>3、甲方在乙方履行完毕本合同项下全部义务后______天内无息退还乙方。</w:t>
      </w:r>
    </w:p>
    <w:p>
      <w:pPr>
        <w:spacing w:line="360" w:lineRule="auto"/>
        <w:ind w:firstLine="560"/>
        <w:jc w:val="left"/>
        <w:rPr>
          <w:rFonts w:ascii="宋体" w:hAnsi="宋体"/>
          <w:szCs w:val="21"/>
        </w:rPr>
      </w:pPr>
    </w:p>
    <w:p>
      <w:pPr>
        <w:spacing w:line="360" w:lineRule="auto"/>
        <w:ind w:firstLine="560"/>
        <w:jc w:val="left"/>
        <w:rPr>
          <w:b/>
          <w:szCs w:val="21"/>
        </w:rPr>
      </w:pPr>
      <w:r>
        <w:rPr>
          <w:rFonts w:hint="eastAsia"/>
          <w:b/>
          <w:szCs w:val="21"/>
        </w:rPr>
        <w:t>第八条   货款支付</w:t>
      </w:r>
    </w:p>
    <w:p>
      <w:pPr>
        <w:spacing w:line="360" w:lineRule="auto"/>
        <w:ind w:firstLine="560"/>
        <w:jc w:val="left"/>
        <w:rPr>
          <w:szCs w:val="21"/>
        </w:rPr>
      </w:pPr>
    </w:p>
    <w:p>
      <w:pPr>
        <w:spacing w:line="360" w:lineRule="auto"/>
        <w:ind w:firstLine="560"/>
        <w:jc w:val="left"/>
        <w:rPr>
          <w:b/>
          <w:szCs w:val="21"/>
        </w:rPr>
      </w:pPr>
      <w:r>
        <w:rPr>
          <w:rFonts w:hint="eastAsia"/>
          <w:b/>
          <w:szCs w:val="21"/>
        </w:rPr>
        <w:t>第九条    违约责任</w:t>
      </w:r>
    </w:p>
    <w:p>
      <w:pPr>
        <w:spacing w:line="360" w:lineRule="auto"/>
        <w:ind w:firstLine="560"/>
        <w:jc w:val="left"/>
        <w:rPr>
          <w:rFonts w:ascii="宋体" w:hAnsi="宋体"/>
          <w:szCs w:val="21"/>
        </w:rPr>
      </w:pPr>
      <w:r>
        <w:rPr>
          <w:rFonts w:hint="eastAsia" w:ascii="宋体" w:hAnsi="宋体"/>
          <w:szCs w:val="21"/>
        </w:rPr>
        <w:t>１、甲方无正当理由拒收货物、拒付货物款的，由甲方向乙方偿付合同总价的【】%违约金。</w:t>
      </w:r>
    </w:p>
    <w:p>
      <w:pPr>
        <w:spacing w:line="360" w:lineRule="auto"/>
        <w:ind w:firstLine="560"/>
        <w:jc w:val="left"/>
        <w:rPr>
          <w:rFonts w:ascii="宋体" w:hAnsi="宋体"/>
          <w:szCs w:val="21"/>
        </w:rPr>
      </w:pPr>
      <w:r>
        <w:rPr>
          <w:rFonts w:hint="eastAsia" w:ascii="宋体" w:hAnsi="宋体"/>
          <w:szCs w:val="21"/>
        </w:rPr>
        <w:t>２、甲方未按合同规定的期限向乙方支付货款的，每逾期1天甲方向乙方偿付欠款总额的【】‰滞纳金，但累计滞纳金总额不超过欠款总额的【】% 。</w:t>
      </w:r>
    </w:p>
    <w:p>
      <w:pPr>
        <w:spacing w:line="360" w:lineRule="auto"/>
        <w:ind w:firstLine="560"/>
        <w:jc w:val="left"/>
        <w:rPr>
          <w:rFonts w:ascii="宋体" w:hAnsi="宋体"/>
          <w:szCs w:val="21"/>
        </w:rPr>
      </w:pPr>
      <w:r>
        <w:rPr>
          <w:rFonts w:hint="eastAsia" w:ascii="宋体" w:hAnsi="宋体"/>
          <w:szCs w:val="21"/>
        </w:rPr>
        <w:t>３、</w:t>
      </w:r>
      <w:r>
        <w:rPr>
          <w:rFonts w:ascii="宋体" w:hAnsi="宋体"/>
          <w:szCs w:val="21"/>
        </w:rPr>
        <w:t>乙方逾期交付货物的，每逾期1天，乙方向甲方偿付逾期交货部分货款总额的</w:t>
      </w:r>
      <w:r>
        <w:rPr>
          <w:rFonts w:hint="eastAsia" w:ascii="宋体" w:hAnsi="宋体"/>
          <w:szCs w:val="21"/>
        </w:rPr>
        <w:t>【】</w:t>
      </w:r>
      <w:r>
        <w:rPr>
          <w:rFonts w:ascii="宋体" w:hAnsi="宋体"/>
          <w:szCs w:val="21"/>
        </w:rPr>
        <w:t>‰的滞纳金</w:t>
      </w:r>
      <w:r>
        <w:rPr>
          <w:rFonts w:hint="eastAsia" w:ascii="宋体" w:hAnsi="宋体"/>
          <w:szCs w:val="21"/>
        </w:rPr>
        <w:t>。如乙方逾期交货达</w:t>
      </w:r>
      <w:r>
        <w:rPr>
          <w:rFonts w:hint="eastAsia" w:ascii="宋体" w:hAnsi="宋体"/>
          <w:szCs w:val="21"/>
          <w:u w:val="single"/>
        </w:rPr>
        <w:t xml:space="preserve">    </w:t>
      </w:r>
      <w:r>
        <w:rPr>
          <w:rFonts w:hint="eastAsia" w:ascii="宋体" w:hAnsi="宋体"/>
          <w:szCs w:val="21"/>
        </w:rPr>
        <w:t>天，甲方有权解除合同，履约保证金不予退回，同时乙方应向甲方支付合同总价【】％的违约金。</w:t>
      </w:r>
    </w:p>
    <w:p>
      <w:pPr>
        <w:spacing w:line="360" w:lineRule="auto"/>
        <w:ind w:firstLine="560"/>
        <w:jc w:val="left"/>
        <w:rPr>
          <w:rFonts w:ascii="宋体" w:hAnsi="宋体"/>
          <w:szCs w:val="21"/>
        </w:rPr>
      </w:pPr>
      <w:r>
        <w:rPr>
          <w:rFonts w:hint="eastAsia" w:ascii="宋体" w:hAnsi="宋体"/>
          <w:szCs w:val="21"/>
        </w:rPr>
        <w:t>4、乙方所交付的货物品种、型号、规格不符合合同规定的，甲方有权拒收。甲方拒收的，乙方应向甲方支付货款总额【】%的违约金。</w:t>
      </w:r>
    </w:p>
    <w:p>
      <w:pPr>
        <w:spacing w:line="360" w:lineRule="auto"/>
        <w:ind w:firstLine="560"/>
        <w:jc w:val="left"/>
        <w:rPr>
          <w:rFonts w:ascii="宋体" w:hAnsi="宋体"/>
          <w:szCs w:val="21"/>
        </w:rPr>
      </w:pPr>
      <w:r>
        <w:rPr>
          <w:rFonts w:hint="eastAsia" w:ascii="宋体" w:hAnsi="宋体"/>
          <w:szCs w:val="21"/>
        </w:rPr>
        <w:t>5、在乙方承诺的或国家规定的质量保证期内（取两者中最长的期限），</w:t>
      </w:r>
      <w:r>
        <w:rPr>
          <w:rFonts w:ascii="宋体" w:hAnsi="宋体"/>
          <w:szCs w:val="21"/>
        </w:rPr>
        <w:t>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spacing w:line="360" w:lineRule="auto"/>
        <w:ind w:firstLine="560"/>
        <w:jc w:val="left"/>
        <w:rPr>
          <w:rFonts w:ascii="宋体" w:hAnsi="宋体"/>
          <w:szCs w:val="21"/>
        </w:rPr>
      </w:pPr>
      <w:r>
        <w:rPr>
          <w:rFonts w:hint="eastAsia" w:ascii="宋体" w:hAnsi="宋体"/>
          <w:szCs w:val="21"/>
        </w:rPr>
        <w:t>6、乙方未履行本合同项下的其他义务或违反其在投标文件中的相关承诺的，应按合同总价款的【】%向甲方承担违约责任。</w:t>
      </w:r>
    </w:p>
    <w:p>
      <w:pPr>
        <w:spacing w:line="360" w:lineRule="auto"/>
        <w:ind w:firstLine="560"/>
        <w:jc w:val="left"/>
        <w:rPr>
          <w:rFonts w:ascii="宋体" w:hAnsi="宋体"/>
          <w:szCs w:val="21"/>
        </w:rPr>
      </w:pPr>
      <w:r>
        <w:rPr>
          <w:rFonts w:hint="eastAsia" w:ascii="宋体" w:hAnsi="宋体"/>
          <w:szCs w:val="21"/>
        </w:rPr>
        <w:t>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560"/>
        <w:jc w:val="left"/>
        <w:rPr>
          <w:b/>
          <w:szCs w:val="21"/>
        </w:rPr>
      </w:pPr>
      <w:r>
        <w:rPr>
          <w:rFonts w:hint="eastAsia"/>
          <w:b/>
          <w:szCs w:val="21"/>
        </w:rPr>
        <w:t>第十条    合同的变更和终止</w:t>
      </w:r>
    </w:p>
    <w:p>
      <w:pPr>
        <w:spacing w:line="360" w:lineRule="auto"/>
        <w:ind w:firstLine="560"/>
        <w:jc w:val="left"/>
        <w:rPr>
          <w:rFonts w:ascii="宋体" w:hAnsi="宋体"/>
          <w:szCs w:val="21"/>
        </w:rPr>
      </w:pPr>
      <w:r>
        <w:rPr>
          <w:rFonts w:hint="eastAsia" w:ascii="宋体" w:hAnsi="宋体"/>
          <w:szCs w:val="21"/>
        </w:rPr>
        <w:t>除《中华人民共和国政府采购法》第４９条、第５０条第二款规定的情形外，本合同一经签订，甲乙双方不得擅自变更、中止或终止合同。</w:t>
      </w:r>
    </w:p>
    <w:p>
      <w:pPr>
        <w:spacing w:line="360" w:lineRule="auto"/>
        <w:ind w:firstLine="560"/>
        <w:jc w:val="left"/>
        <w:rPr>
          <w:b/>
          <w:szCs w:val="21"/>
        </w:rPr>
      </w:pPr>
      <w:r>
        <w:rPr>
          <w:rFonts w:hint="eastAsia"/>
          <w:b/>
          <w:szCs w:val="21"/>
        </w:rPr>
        <w:t>第十一条   争议的解决</w:t>
      </w:r>
    </w:p>
    <w:p>
      <w:pPr>
        <w:spacing w:line="360" w:lineRule="auto"/>
        <w:ind w:firstLine="560"/>
        <w:jc w:val="left"/>
        <w:rPr>
          <w:rFonts w:ascii="宋体" w:hAnsi="宋体"/>
          <w:szCs w:val="21"/>
        </w:rPr>
      </w:pPr>
      <w:r>
        <w:rPr>
          <w:rFonts w:hint="eastAsia" w:ascii="宋体" w:hAnsi="宋体"/>
          <w:szCs w:val="21"/>
        </w:rPr>
        <w:t>1、因货物的质量问题发生争议的，应当邀请国家认可的质量检测机构对货物质量进行鉴定。货物符合标准的，鉴定费由甲方承担；货物不符合质量标准的，鉴定费由乙方承担。</w:t>
      </w:r>
    </w:p>
    <w:p>
      <w:pPr>
        <w:spacing w:line="360" w:lineRule="auto"/>
        <w:ind w:firstLine="560"/>
        <w:jc w:val="left"/>
        <w:rPr>
          <w:rFonts w:ascii="宋体" w:hAnsi="宋体"/>
          <w:szCs w:val="21"/>
        </w:rPr>
      </w:pPr>
      <w:r>
        <w:rPr>
          <w:rFonts w:hint="eastAsia" w:ascii="宋体" w:hAnsi="宋体"/>
          <w:szCs w:val="21"/>
        </w:rPr>
        <w:t>2、因履行本合同引起的或与本合同有关的争议，甲、乙双方应首先通过友好协商解决，如果协商不能解决争议，则向甲方所在地有管辖权的人民法院提起诉讼；</w:t>
      </w:r>
    </w:p>
    <w:p>
      <w:pPr>
        <w:spacing w:line="360" w:lineRule="auto"/>
        <w:ind w:firstLine="560"/>
        <w:jc w:val="left"/>
        <w:rPr>
          <w:b/>
          <w:szCs w:val="21"/>
        </w:rPr>
      </w:pPr>
      <w:r>
        <w:rPr>
          <w:rFonts w:hint="eastAsia"/>
          <w:b/>
          <w:szCs w:val="21"/>
        </w:rPr>
        <w:t>第十二条   合同生效及其他</w:t>
      </w:r>
    </w:p>
    <w:p>
      <w:pPr>
        <w:spacing w:line="360" w:lineRule="auto"/>
        <w:ind w:firstLine="560"/>
        <w:jc w:val="left"/>
        <w:rPr>
          <w:rFonts w:ascii="宋体" w:hAnsi="宋体"/>
          <w:szCs w:val="21"/>
        </w:rPr>
      </w:pPr>
      <w:r>
        <w:rPr>
          <w:rFonts w:hint="eastAsia" w:ascii="宋体" w:hAnsi="宋体"/>
          <w:szCs w:val="21"/>
        </w:rPr>
        <w:t>1、下列文件均为本合同的组成部分：</w:t>
      </w:r>
    </w:p>
    <w:p>
      <w:pPr>
        <w:spacing w:line="360" w:lineRule="auto"/>
        <w:ind w:firstLine="560"/>
        <w:jc w:val="left"/>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spacing w:line="360" w:lineRule="auto"/>
        <w:ind w:firstLine="560"/>
        <w:jc w:val="left"/>
        <w:rPr>
          <w:rFonts w:ascii="宋体" w:hAnsi="宋体"/>
          <w:szCs w:val="21"/>
        </w:rPr>
      </w:pPr>
      <w:r>
        <w:rPr>
          <w:rFonts w:hint="eastAsia" w:ascii="宋体" w:hAnsi="宋体"/>
          <w:szCs w:val="21"/>
        </w:rPr>
        <w:t>（2）乙方的投标文件；</w:t>
      </w:r>
    </w:p>
    <w:p>
      <w:pPr>
        <w:spacing w:line="360" w:lineRule="auto"/>
        <w:ind w:firstLine="560"/>
        <w:jc w:val="left"/>
        <w:rPr>
          <w:rFonts w:ascii="宋体" w:hAnsi="宋体"/>
          <w:szCs w:val="21"/>
        </w:rPr>
      </w:pPr>
      <w:r>
        <w:rPr>
          <w:rFonts w:hint="eastAsia" w:ascii="宋体" w:hAnsi="宋体"/>
          <w:szCs w:val="21"/>
        </w:rPr>
        <w:t>（3）本合同执行中甲乙双方共同签署的补充与修正文件。</w:t>
      </w:r>
    </w:p>
    <w:p>
      <w:pPr>
        <w:spacing w:line="360" w:lineRule="auto"/>
        <w:ind w:firstLine="560"/>
        <w:jc w:val="left"/>
        <w:rPr>
          <w:rFonts w:ascii="宋体" w:hAnsi="宋体"/>
          <w:szCs w:val="21"/>
        </w:rPr>
      </w:pPr>
      <w:r>
        <w:rPr>
          <w:rFonts w:hint="eastAsia" w:ascii="宋体" w:hAnsi="宋体"/>
          <w:szCs w:val="21"/>
        </w:rPr>
        <w:t>2、本合同一式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份，具有同等法律效力。本合同自双方法定代表人（或授权代表）签字并盖章之日起生效。</w:t>
      </w:r>
    </w:p>
    <w:p>
      <w:pPr>
        <w:spacing w:line="360" w:lineRule="auto"/>
        <w:ind w:firstLine="560"/>
        <w:jc w:val="left"/>
        <w:rPr>
          <w:rFonts w:ascii="宋体" w:hAnsi="宋体"/>
          <w:szCs w:val="21"/>
        </w:rPr>
      </w:pPr>
    </w:p>
    <w:p>
      <w:pPr>
        <w:spacing w:line="360" w:lineRule="auto"/>
        <w:ind w:firstLine="560"/>
        <w:jc w:val="left"/>
        <w:rPr>
          <w:rFonts w:ascii="宋体" w:hAnsi="宋体"/>
          <w:szCs w:val="21"/>
        </w:rPr>
      </w:pPr>
    </w:p>
    <w:p>
      <w:pPr>
        <w:spacing w:line="360" w:lineRule="auto"/>
        <w:ind w:firstLine="560"/>
        <w:jc w:val="left"/>
        <w:rPr>
          <w:rFonts w:ascii="宋体" w:hAnsi="宋体"/>
          <w:szCs w:val="21"/>
        </w:rPr>
      </w:pPr>
      <w:r>
        <w:rPr>
          <w:rFonts w:hint="eastAsia" w:ascii="宋体" w:hAnsi="宋体"/>
          <w:szCs w:val="21"/>
        </w:rPr>
        <w:t>甲方（采购人）：   （盖章）       乙方（供应商）：    （盖章）</w:t>
      </w:r>
    </w:p>
    <w:p>
      <w:pPr>
        <w:spacing w:line="360" w:lineRule="auto"/>
        <w:ind w:firstLine="560"/>
        <w:jc w:val="left"/>
        <w:rPr>
          <w:rFonts w:ascii="宋体" w:hAnsi="宋体"/>
          <w:szCs w:val="21"/>
        </w:rPr>
      </w:pPr>
      <w:r>
        <w:rPr>
          <w:rFonts w:hint="eastAsia" w:ascii="宋体" w:hAnsi="宋体"/>
          <w:szCs w:val="21"/>
        </w:rPr>
        <w:t xml:space="preserve">法定代表人：                     法定代表人： </w:t>
      </w:r>
    </w:p>
    <w:p>
      <w:pPr>
        <w:spacing w:line="360" w:lineRule="auto"/>
        <w:ind w:firstLine="560"/>
        <w:jc w:val="left"/>
        <w:rPr>
          <w:rFonts w:ascii="宋体" w:hAnsi="宋体"/>
          <w:szCs w:val="21"/>
        </w:rPr>
      </w:pPr>
      <w:r>
        <w:rPr>
          <w:rFonts w:hint="eastAsia" w:ascii="宋体" w:hAnsi="宋体"/>
          <w:szCs w:val="21"/>
        </w:rPr>
        <w:t>委托代理人：                     委托代理人：</w:t>
      </w:r>
    </w:p>
    <w:p>
      <w:pPr>
        <w:ind w:firstLine="525" w:firstLineChars="250"/>
        <w:rPr>
          <w:rFonts w:ascii="宋体" w:hAnsi="宋体"/>
          <w:b/>
          <w:szCs w:val="21"/>
        </w:rPr>
      </w:pPr>
      <w:r>
        <w:rPr>
          <w:rFonts w:hint="eastAsia" w:ascii="宋体" w:hAnsi="宋体"/>
          <w:szCs w:val="21"/>
        </w:rPr>
        <w:t>日期：   年     月    日         日期：   年     月    日</w:t>
      </w:r>
    </w:p>
    <w:p>
      <w:r>
        <w:br w:type="page"/>
      </w:r>
    </w:p>
    <w:p>
      <w:pPr>
        <w:pStyle w:val="5"/>
        <w:rPr>
          <w:kern w:val="2"/>
          <w:sz w:val="32"/>
          <w:szCs w:val="32"/>
        </w:rPr>
      </w:pPr>
      <w:r>
        <w:rPr>
          <w:rFonts w:hint="eastAsia"/>
          <w:kern w:val="2"/>
          <w:sz w:val="32"/>
          <w:szCs w:val="32"/>
        </w:rPr>
        <w:t>第五章  深圳大学总医院采购履约情况反馈表</w:t>
      </w:r>
    </w:p>
    <w:p>
      <w:pPr>
        <w:spacing w:line="240" w:lineRule="atLeast"/>
        <w:rPr>
          <w:rFonts w:ascii="宋体" w:hAnsi="宋体"/>
          <w:b/>
          <w:szCs w:val="21"/>
        </w:rPr>
      </w:pPr>
      <w:r>
        <w:rPr>
          <w:rFonts w:hint="eastAsia" w:ascii="宋体" w:hAnsi="宋体"/>
          <w:b/>
          <w:szCs w:val="21"/>
        </w:rPr>
        <w:t>采购单位名称：                       联系人及电话：</w:t>
      </w:r>
    </w:p>
    <w:p>
      <w:pPr>
        <w:spacing w:line="60" w:lineRule="exact"/>
        <w:rPr>
          <w:rFonts w:ascii="宋体" w:hAnsi="宋体"/>
          <w:b/>
          <w:szCs w:val="21"/>
        </w:rPr>
      </w:pPr>
    </w:p>
    <w:tbl>
      <w:tblPr>
        <w:tblStyle w:val="54"/>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120" w:beforeLines="50" w:after="12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20" w:beforeLines="50" w:after="12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23"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采购单位意见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1、本表为采购单位向深圳大学总医院招投标管理办公室反映采购项目履约情况时所用；</w:t>
      </w:r>
    </w:p>
    <w:p>
      <w:pPr>
        <w:spacing w:line="240" w:lineRule="atLeast"/>
        <w:rPr>
          <w:rFonts w:ascii="宋体" w:hAnsi="宋体"/>
          <w:szCs w:val="21"/>
        </w:rPr>
      </w:pPr>
      <w:r>
        <w:rPr>
          <w:rFonts w:hint="eastAsia" w:ascii="宋体" w:hAnsi="宋体"/>
          <w:szCs w:val="21"/>
        </w:rPr>
        <w:t>2、履约情况评价分为优、良、中、差四个等级，请在对应的框前打“√”，然后在“具体情况说明”一栏详细说明有关情况。</w:t>
      </w:r>
    </w:p>
    <w:p>
      <w:pPr>
        <w:spacing w:line="240" w:lineRule="atLeast"/>
        <w:rPr>
          <w:rFonts w:ascii="宋体" w:hAnsi="宋体"/>
          <w:szCs w:val="21"/>
        </w:rPr>
      </w:pPr>
    </w:p>
    <w:p>
      <w:pPr>
        <w:pStyle w:val="2"/>
      </w:pPr>
      <w:r>
        <w:rPr>
          <w:rFonts w:hint="eastAsia"/>
        </w:rPr>
        <w:t>第二册  通用条款（公开招标）</w:t>
      </w:r>
    </w:p>
    <w:p>
      <w:pPr>
        <w:jc w:val="center"/>
        <w:rPr>
          <w:rFonts w:ascii="宋体" w:hAnsi="宋体"/>
          <w:b/>
          <w:color w:val="FF0000"/>
          <w:sz w:val="28"/>
          <w:szCs w:val="28"/>
        </w:rPr>
      </w:pPr>
      <w:r>
        <w:rPr>
          <w:rFonts w:hint="eastAsia" w:ascii="宋体" w:hAnsi="宋体"/>
          <w:b/>
          <w:color w:val="FF0000"/>
          <w:sz w:val="28"/>
          <w:szCs w:val="28"/>
        </w:rPr>
        <w:t>（</w:t>
      </w:r>
      <w:r>
        <w:rPr>
          <w:rFonts w:ascii="宋体" w:hAnsi="宋体"/>
          <w:b/>
          <w:color w:val="FF0000"/>
          <w:sz w:val="28"/>
          <w:szCs w:val="28"/>
        </w:rPr>
        <w:t>1</w:t>
      </w:r>
      <w:r>
        <w:rPr>
          <w:rFonts w:hint="eastAsia" w:ascii="宋体" w:hAnsi="宋体"/>
          <w:b/>
          <w:color w:val="FF0000"/>
          <w:sz w:val="28"/>
          <w:szCs w:val="28"/>
        </w:rPr>
        <w:t>.0版本）</w:t>
      </w:r>
    </w:p>
    <w:p>
      <w:pPr>
        <w:keepNext/>
        <w:keepLines/>
        <w:numPr>
          <w:ilvl w:val="0"/>
          <w:numId w:val="6"/>
        </w:numPr>
        <w:adjustRightInd w:val="0"/>
        <w:spacing w:before="120" w:beforeLines="50" w:after="120"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总则</w:t>
      </w:r>
    </w:p>
    <w:p>
      <w:pPr>
        <w:spacing w:line="360" w:lineRule="auto"/>
        <w:rPr>
          <w:rFonts w:ascii="黑体" w:hAnsi="宋体" w:eastAsia="黑体"/>
          <w:sz w:val="24"/>
        </w:rPr>
      </w:pPr>
      <w:r>
        <w:rPr>
          <w:rFonts w:hint="eastAsia" w:ascii="黑体" w:hAnsi="宋体" w:eastAsia="黑体"/>
          <w:sz w:val="24"/>
        </w:rPr>
        <w:t>1.通用条款说明</w:t>
      </w:r>
    </w:p>
    <w:p>
      <w:pPr>
        <w:ind w:firstLine="411" w:firstLineChars="196"/>
        <w:rPr>
          <w:rFonts w:ascii="宋体" w:hAnsi="宋体"/>
          <w:szCs w:val="21"/>
        </w:rPr>
      </w:pPr>
      <w:r>
        <w:rPr>
          <w:rFonts w:hint="eastAsia" w:ascii="宋体" w:hAnsi="宋体"/>
          <w:szCs w:val="21"/>
        </w:rPr>
        <w:t>1.1深圳大学总医院招投标管理办公室 发出招标文件通用条款版本，列出深圳大学总医院采购项目进行招标采购所适用的通用条款内容。如有需要，深圳大学总医院招投标管理办公室可对通用条款增加附录或补充内容。</w:t>
      </w:r>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1.3“专用条款”是对本次采购项目的具体要求，包含投标人资格要求、招标项目需求、投标文件格式、附件等内容。</w:t>
      </w:r>
    </w:p>
    <w:p>
      <w:pPr>
        <w:ind w:firstLine="411" w:firstLineChars="196"/>
        <w:rPr>
          <w:rFonts w:ascii="宋体" w:hAnsi="宋体"/>
          <w:szCs w:val="21"/>
        </w:rPr>
      </w:pPr>
      <w:r>
        <w:rPr>
          <w:rFonts w:hint="eastAsia" w:ascii="宋体" w:hAnsi="宋体"/>
          <w:szCs w:val="21"/>
        </w:rPr>
        <w:t>1.4“通用条款”是适用于采购项目的基础性条款，具有普遍性和通用性。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spacing w:line="360" w:lineRule="auto"/>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w:t>
      </w:r>
      <w:r>
        <w:rPr>
          <w:rFonts w:ascii="宋体" w:hAnsi="宋体"/>
          <w:szCs w:val="21"/>
        </w:rPr>
        <w:t>政府采购条例实施细则</w:t>
      </w:r>
      <w:r>
        <w:rPr>
          <w:rFonts w:hint="eastAsia" w:ascii="宋体" w:hAnsi="宋体"/>
          <w:szCs w:val="21"/>
        </w:rPr>
        <w:t>》和深圳大学总医院</w:t>
      </w:r>
      <w:r>
        <w:rPr>
          <w:rFonts w:ascii="宋体" w:hAnsi="宋体"/>
          <w:szCs w:val="21"/>
        </w:rPr>
        <w:t>的</w:t>
      </w:r>
      <w:r>
        <w:rPr>
          <w:rFonts w:hint="eastAsia" w:ascii="宋体" w:hAnsi="宋体"/>
          <w:szCs w:val="21"/>
        </w:rPr>
        <w:t>有关</w:t>
      </w:r>
      <w:r>
        <w:rPr>
          <w:rFonts w:ascii="宋体" w:hAnsi="宋体"/>
          <w:szCs w:val="21"/>
        </w:rPr>
        <w:t>规定</w:t>
      </w:r>
      <w:r>
        <w:rPr>
          <w:rFonts w:hint="eastAsia" w:ascii="宋体" w:hAnsi="宋体"/>
          <w:szCs w:val="21"/>
        </w:rPr>
        <w:t>，并参考有关法规和规定通过招标方式</w:t>
      </w:r>
      <w:r>
        <w:rPr>
          <w:rFonts w:ascii="宋体" w:hAnsi="宋体"/>
          <w:szCs w:val="21"/>
        </w:rPr>
        <w:t>确定</w:t>
      </w:r>
      <w:r>
        <w:rPr>
          <w:rFonts w:hint="eastAsia" w:ascii="宋体" w:hAnsi="宋体"/>
          <w:szCs w:val="21"/>
        </w:rPr>
        <w:t>中标供应商。</w:t>
      </w:r>
    </w:p>
    <w:p>
      <w:pPr>
        <w:spacing w:line="360" w:lineRule="auto"/>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“医院采购机构”系指深圳大学总医院招投标管理办公室；</w:t>
      </w:r>
    </w:p>
    <w:p>
      <w:pPr>
        <w:ind w:firstLine="411" w:firstLineChars="196"/>
        <w:rPr>
          <w:rFonts w:ascii="宋体" w:hAnsi="宋体"/>
          <w:szCs w:val="21"/>
        </w:rPr>
      </w:pPr>
      <w:r>
        <w:rPr>
          <w:rFonts w:hint="eastAsia" w:ascii="宋体" w:hAnsi="宋体"/>
          <w:szCs w:val="21"/>
        </w:rPr>
        <w:t>3.2“采购人”或“采购单位”：系指深圳大学总医院</w:t>
      </w:r>
      <w:r>
        <w:rPr>
          <w:rFonts w:ascii="宋体" w:hAnsi="宋体"/>
          <w:szCs w:val="21"/>
        </w:rPr>
        <w:t>、</w:t>
      </w:r>
      <w:r>
        <w:rPr>
          <w:rFonts w:hint="eastAsia" w:ascii="宋体" w:hAnsi="宋体"/>
          <w:szCs w:val="21"/>
        </w:rPr>
        <w:t>深圳大学总医院</w:t>
      </w:r>
      <w:r>
        <w:rPr>
          <w:rFonts w:ascii="宋体" w:hAnsi="宋体"/>
          <w:szCs w:val="21"/>
        </w:rPr>
        <w:t>下属</w:t>
      </w:r>
      <w:r>
        <w:rPr>
          <w:rFonts w:hint="eastAsia" w:ascii="宋体" w:hAnsi="宋体"/>
          <w:szCs w:val="21"/>
        </w:rPr>
        <w:t xml:space="preserve">单位； </w:t>
      </w:r>
    </w:p>
    <w:p>
      <w:pPr>
        <w:ind w:firstLine="411" w:firstLineChars="196"/>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“投标人”或“投标方”，即供应商，是指参加投标竞争并愿意按照招标文件要求向采购人提供货物、工程或者服务的依法成立的法人、其他组织或者自然人；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w:t>
      </w:r>
      <w:r>
        <w:rPr>
          <w:rFonts w:ascii="宋体" w:hAnsi="宋体"/>
          <w:szCs w:val="21"/>
        </w:rPr>
        <w:t>4</w:t>
      </w:r>
      <w:r>
        <w:rPr>
          <w:rFonts w:hint="eastAsia" w:ascii="宋体" w:hAnsi="宋体"/>
          <w:szCs w:val="21"/>
        </w:rPr>
        <w:t>“评审委员会”和“谈判小组”是依据《深圳经济特区政府采购条例》、《深圳经济特区政府采购条例实施细则》和深圳大学总医院</w:t>
      </w:r>
      <w:r>
        <w:rPr>
          <w:rFonts w:ascii="宋体" w:hAnsi="宋体"/>
          <w:szCs w:val="21"/>
        </w:rPr>
        <w:t>的</w:t>
      </w:r>
      <w:r>
        <w:rPr>
          <w:rFonts w:hint="eastAsia" w:ascii="宋体" w:hAnsi="宋体"/>
          <w:szCs w:val="21"/>
        </w:rPr>
        <w:t>有关规定组建的专门负责本次招标的评审（谈判）工作的临时性机构；</w:t>
      </w:r>
    </w:p>
    <w:p>
      <w:pPr>
        <w:ind w:firstLine="411" w:firstLineChars="196"/>
        <w:rPr>
          <w:rFonts w:ascii="宋体" w:hAnsi="宋体"/>
          <w:szCs w:val="21"/>
        </w:rPr>
      </w:pPr>
      <w:r>
        <w:rPr>
          <w:rFonts w:hint="eastAsia" w:ascii="宋体" w:hAnsi="宋体"/>
          <w:szCs w:val="21"/>
        </w:rPr>
        <w:t>3.</w:t>
      </w:r>
      <w:r>
        <w:rPr>
          <w:rFonts w:ascii="宋体" w:hAnsi="宋体"/>
          <w:szCs w:val="21"/>
        </w:rPr>
        <w:t>5</w:t>
      </w:r>
      <w:r>
        <w:rPr>
          <w:rFonts w:hint="eastAsia" w:ascii="宋体" w:hAnsi="宋体"/>
          <w:szCs w:val="21"/>
        </w:rPr>
        <w:t>“日期”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ascii="宋体" w:hAnsi="宋体"/>
          <w:szCs w:val="21"/>
        </w:rPr>
        <w:t>3.6“</w:t>
      </w:r>
      <w:r>
        <w:rPr>
          <w:rFonts w:hint="eastAsia" w:ascii="宋体" w:hAnsi="宋体"/>
          <w:szCs w:val="21"/>
        </w:rPr>
        <w:t>时间</w:t>
      </w:r>
      <w:r>
        <w:rPr>
          <w:rFonts w:ascii="宋体" w:hAnsi="宋体"/>
          <w:szCs w:val="21"/>
        </w:rPr>
        <w:t>”</w:t>
      </w:r>
      <w:r>
        <w:rPr>
          <w:rFonts w:hint="eastAsia" w:ascii="宋体" w:hAnsi="宋体"/>
          <w:szCs w:val="21"/>
        </w:rPr>
        <w:t>如未特别</w:t>
      </w:r>
      <w:r>
        <w:rPr>
          <w:rFonts w:ascii="宋体" w:hAnsi="宋体"/>
          <w:szCs w:val="21"/>
        </w:rPr>
        <w:t>说明，均</w:t>
      </w:r>
      <w:r>
        <w:rPr>
          <w:rFonts w:hint="eastAsia" w:ascii="宋体" w:hAnsi="宋体"/>
          <w:szCs w:val="21"/>
        </w:rPr>
        <w:t>为</w:t>
      </w:r>
      <w:r>
        <w:rPr>
          <w:rFonts w:ascii="宋体" w:hAnsi="宋体"/>
          <w:szCs w:val="21"/>
        </w:rPr>
        <w:t>北京时间；</w:t>
      </w:r>
    </w:p>
    <w:p>
      <w:pPr>
        <w:ind w:firstLine="411" w:firstLineChars="196"/>
        <w:rPr>
          <w:rFonts w:ascii="宋体" w:hAnsi="宋体"/>
          <w:szCs w:val="21"/>
        </w:rPr>
      </w:pPr>
      <w:r>
        <w:rPr>
          <w:rFonts w:hint="eastAsia" w:ascii="宋体" w:hAnsi="宋体"/>
          <w:szCs w:val="21"/>
        </w:rPr>
        <w:t>3.</w:t>
      </w:r>
      <w:r>
        <w:rPr>
          <w:rFonts w:ascii="宋体" w:hAnsi="宋体"/>
          <w:szCs w:val="21"/>
        </w:rPr>
        <w:t>7</w:t>
      </w:r>
      <w:r>
        <w:rPr>
          <w:rFonts w:hint="eastAsia" w:ascii="宋体" w:hAnsi="宋体"/>
          <w:szCs w:val="21"/>
        </w:rPr>
        <w:t>“合同”指由本次招标所产生的合同或合约文件；</w:t>
      </w:r>
    </w:p>
    <w:p>
      <w:pPr>
        <w:ind w:firstLine="411" w:firstLineChars="196"/>
        <w:rPr>
          <w:rFonts w:ascii="宋体" w:hAnsi="宋体"/>
          <w:szCs w:val="21"/>
        </w:rPr>
      </w:pPr>
      <w:r>
        <w:rPr>
          <w:rFonts w:hint="eastAsia" w:ascii="宋体" w:hAnsi="宋体"/>
          <w:szCs w:val="21"/>
        </w:rPr>
        <w:t>3.</w:t>
      </w:r>
      <w:r>
        <w:rPr>
          <w:rFonts w:ascii="宋体" w:hAnsi="宋体"/>
          <w:szCs w:val="21"/>
        </w:rPr>
        <w:t>8</w:t>
      </w:r>
      <w:r>
        <w:rPr>
          <w:rFonts w:hint="eastAsia" w:ascii="宋体" w:hAnsi="宋体"/>
          <w:szCs w:val="21"/>
        </w:rPr>
        <w:t>招标文件中的标题或题名仅起引导作用，而不应视为对招标文件内容的理解和解释。</w:t>
      </w:r>
    </w:p>
    <w:p>
      <w:pPr>
        <w:spacing w:line="360" w:lineRule="auto"/>
        <w:rPr>
          <w:rFonts w:ascii="黑体" w:hAnsi="宋体" w:eastAsia="黑体"/>
          <w:sz w:val="24"/>
        </w:rPr>
      </w:pPr>
      <w:r>
        <w:rPr>
          <w:rFonts w:hint="eastAsia" w:ascii="黑体" w:hAnsi="宋体" w:eastAsia="黑体"/>
          <w:sz w:val="24"/>
        </w:rPr>
        <w:t>4. 供应商责任</w:t>
      </w:r>
    </w:p>
    <w:p>
      <w:pPr>
        <w:ind w:firstLine="411" w:firstLineChars="196"/>
        <w:rPr>
          <w:rFonts w:ascii="宋体" w:hAnsi="宋体"/>
          <w:szCs w:val="21"/>
        </w:rPr>
      </w:pPr>
      <w:r>
        <w:rPr>
          <w:rFonts w:hint="eastAsia" w:ascii="宋体" w:hAnsi="宋体"/>
          <w:szCs w:val="21"/>
        </w:rPr>
        <w:t>4.1欢迎诚信、有实力和有社会责任心的供应商参与深圳大学总医院采购事务。</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rPr>
          <w:rFonts w:ascii="黑体" w:hAnsi="宋体" w:eastAsia="黑体"/>
          <w:sz w:val="24"/>
        </w:rPr>
      </w:pPr>
      <w:r>
        <w:rPr>
          <w:rFonts w:hint="eastAsia" w:ascii="黑体" w:hAnsi="宋体" w:eastAsia="黑体"/>
          <w:sz w:val="24"/>
        </w:rPr>
        <w:t>5．投标人参加深圳大学总医院采购活动的条件</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投标人的资格要求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参加本项目的投标人应具备的资格条件详见本项目招标公告中的内容。</w:t>
      </w:r>
    </w:p>
    <w:p>
      <w:pPr>
        <w:spacing w:line="360" w:lineRule="auto"/>
        <w:rPr>
          <w:rFonts w:ascii="黑体" w:hAnsi="宋体" w:eastAsia="黑体"/>
          <w:sz w:val="24"/>
        </w:rPr>
      </w:pPr>
      <w:r>
        <w:rPr>
          <w:rFonts w:hint="eastAsia" w:ascii="黑体" w:hAnsi="宋体" w:eastAsia="黑体"/>
          <w:sz w:val="24"/>
        </w:rPr>
        <w:t>6．联合体投标</w:t>
      </w:r>
    </w:p>
    <w:p>
      <w:pPr>
        <w:ind w:firstLine="411" w:firstLineChars="196"/>
        <w:rPr>
          <w:rFonts w:ascii="宋体" w:hAnsi="宋体"/>
        </w:rPr>
      </w:pPr>
      <w:r>
        <w:rPr>
          <w:rFonts w:hint="eastAsia" w:ascii="宋体" w:hAnsi="宋体"/>
        </w:rPr>
        <w:t>6.1　</w:t>
      </w:r>
      <w:r>
        <w:rPr>
          <w:rFonts w:hint="eastAsia"/>
        </w:rPr>
        <w:t>以下有关联合体投标的条款仅适用于允许投标人组成联合体投标的项目。</w:t>
      </w:r>
    </w:p>
    <w:p>
      <w:pPr>
        <w:ind w:firstLine="411" w:firstLineChars="196"/>
        <w:rPr>
          <w:rFonts w:ascii="宋体" w:hAnsi="宋体"/>
        </w:rPr>
      </w:pPr>
      <w:r>
        <w:rPr>
          <w:rFonts w:hint="eastAsia" w:ascii="宋体" w:hAnsi="宋体"/>
        </w:rPr>
        <w:t>6.2　由两个或</w:t>
      </w:r>
      <w:r>
        <w:rPr>
          <w:rFonts w:hint="eastAsia"/>
        </w:rPr>
        <w:t>两个以上的自然人、法人或者其他组织可以组成一个联合体，以一个供应商的身份</w:t>
      </w:r>
      <w:r>
        <w:rPr>
          <w:rFonts w:hint="eastAsia" w:ascii="宋体" w:hAnsi="宋体"/>
        </w:rPr>
        <w:t>共同投标时，应符合以下原则：</w:t>
      </w:r>
    </w:p>
    <w:p>
      <w:pPr>
        <w:ind w:firstLine="411" w:firstLineChars="196"/>
        <w:rPr>
          <w:rFonts w:ascii="宋体" w:hAnsi="宋体"/>
        </w:rPr>
      </w:pPr>
      <w:r>
        <w:rPr>
          <w:rFonts w:hint="eastAsia" w:ascii="宋体" w:hAnsi="宋体"/>
        </w:rPr>
        <w:t>（1）投标联合体各方参加深圳大学总医院</w:t>
      </w:r>
      <w:r>
        <w:rPr>
          <w:rFonts w:ascii="宋体" w:hAnsi="宋体"/>
        </w:rPr>
        <w:t>的</w:t>
      </w:r>
      <w:r>
        <w:rPr>
          <w:rFonts w:hint="eastAsia" w:ascii="宋体" w:hAnsi="宋体"/>
        </w:rPr>
        <w:t>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投标联合体各方中至少应当有一方符合采购人规定的特定条件。联合体中有同类资质的供应商按照联合体分工承担相同工作的，应当按照资质等级较低的供应商确定资质等级。联合体各方的不同资质可优势互补。</w:t>
      </w:r>
    </w:p>
    <w:p>
      <w:pPr>
        <w:ind w:firstLine="411" w:firstLineChars="196"/>
        <w:rPr>
          <w:rFonts w:ascii="宋体" w:hAnsi="宋体"/>
        </w:rPr>
      </w:pPr>
      <w:r>
        <w:rPr>
          <w:rFonts w:hint="eastAsia" w:ascii="宋体" w:hAnsi="宋体"/>
        </w:rPr>
        <w:t>（3）投标人的投标文件及中标后签署的合同协议对联合体各方均具法律约束力；</w:t>
      </w:r>
    </w:p>
    <w:p>
      <w:pPr>
        <w:ind w:firstLine="411" w:firstLineChars="196"/>
        <w:rPr>
          <w:rFonts w:ascii="宋体" w:hAnsi="宋体"/>
        </w:rPr>
      </w:pPr>
      <w:r>
        <w:rPr>
          <w:rFonts w:hint="eastAsia" w:ascii="宋体" w:hAnsi="宋体"/>
        </w:rPr>
        <w:t>（4）联合体各方应当签订共同投标协议，明确约定各方拟承担的工作和责任，并将该共同投标协议随投标文件一并递交给医院采购机构；</w:t>
      </w:r>
    </w:p>
    <w:p>
      <w:pPr>
        <w:ind w:firstLine="411" w:firstLineChars="196"/>
        <w:rPr>
          <w:rFonts w:ascii="宋体" w:hAnsi="宋体"/>
        </w:rPr>
      </w:pPr>
      <w:r>
        <w:rPr>
          <w:rFonts w:hint="eastAsia" w:ascii="宋体" w:hAnsi="宋体"/>
        </w:rPr>
        <w:t>（5）是否允许联合体参加投标，应当由采购人和采购代理机构根据项目的实际情况和潜在供应商的数量自主决定，如果决定接受联合体投标则应当在采购公告中明示。</w:t>
      </w:r>
    </w:p>
    <w:p>
      <w:pPr>
        <w:ind w:firstLine="411" w:firstLineChars="196"/>
        <w:rPr>
          <w:rFonts w:ascii="宋体" w:hAnsi="宋体"/>
        </w:rPr>
      </w:pPr>
      <w:r>
        <w:rPr>
          <w:rFonts w:hint="eastAsia" w:ascii="宋体" w:hAnsi="宋体"/>
        </w:rPr>
        <w:t>（6）联合体的各方应当共同推荐一联合体投标授权代表方，由联合体各方提交一份授权书，证明其有资格代表联合体各方签署投标文件，该授权书作为投标文件的组成部分一并提交给医院采购机构；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（8）以联合体形式参加本项目采购活动的，联合体各方不得再单独参加或者与其他供应商另外组成联合体参加同一合同项下的采购活动，出现上述情况者，其投标和与此有关联合体、总包单位的投标将被拒绝；</w:t>
      </w:r>
    </w:p>
    <w:p>
      <w:pPr>
        <w:ind w:firstLine="411" w:firstLineChars="196"/>
        <w:rPr>
          <w:rFonts w:ascii="宋体" w:hAnsi="宋体"/>
        </w:rPr>
      </w:pPr>
      <w:r>
        <w:rPr>
          <w:rFonts w:hint="eastAsia" w:ascii="宋体" w:hAnsi="宋体"/>
        </w:rPr>
        <w:t>（9）本通用条款中“投标人”一词亦指联合体各方，专用条款另有规定或说明的除外。</w:t>
      </w:r>
    </w:p>
    <w:p>
      <w:pPr>
        <w:spacing w:line="360" w:lineRule="auto"/>
        <w:rPr>
          <w:rFonts w:ascii="黑体" w:hAnsi="宋体" w:eastAsia="黑体"/>
          <w:sz w:val="24"/>
        </w:rPr>
      </w:pPr>
      <w:r>
        <w:rPr>
          <w:rFonts w:hint="eastAsia" w:ascii="黑体" w:hAnsi="宋体" w:eastAsia="黑体"/>
          <w:sz w:val="24"/>
        </w:rPr>
        <w:t>7.本项目若涉及采购货物，则合格的货物及相应服务应满足以下要求：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和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pPr>
        <w:ind w:firstLine="411" w:firstLineChars="196"/>
        <w:rPr>
          <w:rFonts w:ascii="宋体" w:hAnsi="宋体"/>
        </w:rPr>
      </w:pPr>
      <w:r>
        <w:rPr>
          <w:rFonts w:hint="eastAsia" w:ascii="宋体" w:hAnsi="宋体"/>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对工期的要求：投标人在投标时对其所投项目应提交货进度、交货计划等，在合同规定的时间内完工验收。</w:t>
      </w:r>
    </w:p>
    <w:p>
      <w:pPr>
        <w:ind w:firstLine="411" w:firstLineChars="196"/>
        <w:rPr>
          <w:rFonts w:ascii="宋体" w:hAnsi="宋体"/>
        </w:rPr>
      </w:pPr>
      <w:r>
        <w:rPr>
          <w:rFonts w:hint="eastAsia" w:ascii="宋体" w:hAnsi="宋体"/>
        </w:rPr>
        <w:t>7.</w:t>
      </w:r>
      <w:r>
        <w:rPr>
          <w:rFonts w:ascii="宋体" w:hAnsi="宋体"/>
        </w:rPr>
        <w:t>7</w:t>
      </w:r>
      <w:r>
        <w:rPr>
          <w:rFonts w:hint="eastAsia" w:ascii="宋体" w:hAnsi="宋体"/>
        </w:rPr>
        <w:t xml:space="preserve">  投标人必须承担的设备运输、安装调试、验收检测和提供设备操作说明书、图纸等其他相关及类似的义务。</w:t>
      </w:r>
    </w:p>
    <w:p>
      <w:pPr>
        <w:spacing w:line="360" w:lineRule="auto"/>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spacing w:line="360" w:lineRule="auto"/>
        <w:rPr>
          <w:rFonts w:ascii="黑体" w:hAnsi="宋体" w:eastAsia="黑体"/>
          <w:sz w:val="24"/>
        </w:rPr>
      </w:pPr>
      <w:r>
        <w:rPr>
          <w:rFonts w:hint="eastAsia" w:ascii="黑体" w:hAnsi="宋体" w:eastAsia="黑体"/>
          <w:sz w:val="24"/>
        </w:rPr>
        <w:t>9．踏勘现场</w:t>
      </w:r>
    </w:p>
    <w:p>
      <w:pPr>
        <w:ind w:firstLine="411" w:firstLineChars="196"/>
        <w:rPr>
          <w:rFonts w:ascii="宋体" w:hAnsi="宋体"/>
        </w:rPr>
      </w:pPr>
      <w:r>
        <w:rPr>
          <w:rFonts w:hint="eastAsia" w:ascii="宋体" w:hAnsi="宋体"/>
        </w:rPr>
        <w:t>9.1如有需要（详见专用条款），医院</w:t>
      </w:r>
      <w:r>
        <w:rPr>
          <w:rFonts w:ascii="宋体" w:hAnsi="宋体"/>
        </w:rPr>
        <w:t>采购机构</w:t>
      </w:r>
      <w:r>
        <w:rPr>
          <w:rFonts w:hint="eastAsia" w:ascii="宋体" w:hAnsi="宋体"/>
        </w:rPr>
        <w:t>或采购人将组织投标人对项目现场及周围环境进行踏勘，以便投标人获取有关编制投标文件和签署合同所需的资料。踏勘现场所发生的费用由投标人自行承担。投标人应按招标公告所约定的时间、地点踏勘现场。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9.3采购人必须通过医院采购机构向投标人提供有关现场的资料和数据。</w:t>
      </w:r>
    </w:p>
    <w:p>
      <w:pPr>
        <w:ind w:firstLine="411" w:firstLineChars="196"/>
        <w:rPr>
          <w:rFonts w:ascii="宋体" w:hAnsi="宋体"/>
        </w:rPr>
      </w:pPr>
      <w:r>
        <w:rPr>
          <w:rFonts w:hint="eastAsia" w:ascii="宋体" w:hAnsi="宋体"/>
        </w:rPr>
        <w:t>9.4任何人或任何组织在踏勘现场时向投标人提交的任何书面资料或</w:t>
      </w:r>
      <w:r>
        <w:rPr>
          <w:rFonts w:ascii="宋体" w:hAnsi="宋体"/>
        </w:rPr>
        <w:t>口头承诺</w:t>
      </w:r>
      <w:r>
        <w:rPr>
          <w:rFonts w:hint="eastAsia" w:ascii="宋体" w:hAnsi="宋体"/>
        </w:rPr>
        <w:t>，未经医院采购机构在网上发布或书面通知，均作无效处理。</w:t>
      </w:r>
    </w:p>
    <w:p>
      <w:pPr>
        <w:spacing w:line="360" w:lineRule="auto"/>
        <w:rPr>
          <w:rFonts w:ascii="黑体" w:hAnsi="宋体" w:eastAsia="黑体"/>
          <w:sz w:val="24"/>
        </w:rPr>
      </w:pPr>
      <w:r>
        <w:rPr>
          <w:rFonts w:hint="eastAsia" w:ascii="黑体" w:hAnsi="宋体" w:eastAsia="黑体"/>
          <w:sz w:val="24"/>
        </w:rPr>
        <w:t>10．招标答疑</w:t>
      </w:r>
    </w:p>
    <w:p>
      <w:pPr>
        <w:ind w:firstLine="411" w:firstLineChars="196"/>
        <w:rPr>
          <w:rFonts w:ascii="宋体" w:hAnsi="宋体"/>
          <w:szCs w:val="21"/>
        </w:rPr>
      </w:pPr>
      <w:r>
        <w:rPr>
          <w:rFonts w:hint="eastAsia" w:ascii="宋体" w:hAnsi="宋体"/>
          <w:szCs w:val="21"/>
        </w:rPr>
        <w:t>10.1招标答疑的目的是澄清、解答投标人在查阅招标文件后或现场踏勘中可能提出的与投标有关的疑问或询问。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10.2投标人如对招标文件内容有疑问，必须在招标文件规定的答疑截止时间前以书面形式提交给医院采购机构。</w:t>
      </w:r>
    </w:p>
    <w:p>
      <w:pPr>
        <w:ind w:firstLine="411" w:firstLineChars="196"/>
        <w:rPr>
          <w:rFonts w:ascii="宋体" w:hAnsi="宋体"/>
          <w:szCs w:val="21"/>
        </w:rPr>
      </w:pPr>
      <w:r>
        <w:rPr>
          <w:rFonts w:hint="eastAsia" w:ascii="宋体" w:hAnsi="宋体"/>
          <w:szCs w:val="21"/>
        </w:rPr>
        <w:t>10.3医院采购机构对疑问所做出的澄清和解答，以书面答复（包括网站发布信息）为准。答疑纪要的有效性规定按照本通用条款第13</w:t>
      </w:r>
      <w:r>
        <w:rPr>
          <w:rFonts w:ascii="宋体" w:hAnsi="宋体"/>
          <w:szCs w:val="21"/>
        </w:rPr>
        <w:t>.3</w:t>
      </w:r>
      <w:r>
        <w:rPr>
          <w:rFonts w:hint="eastAsia" w:ascii="宋体" w:hAnsi="宋体"/>
          <w:szCs w:val="21"/>
        </w:rPr>
        <w:t>、13</w:t>
      </w:r>
      <w:r>
        <w:rPr>
          <w:rFonts w:ascii="宋体" w:hAnsi="宋体"/>
          <w:szCs w:val="21"/>
        </w:rPr>
        <w:t>.4</w:t>
      </w:r>
      <w:r>
        <w:rPr>
          <w:rFonts w:hint="eastAsia" w:ascii="宋体" w:hAnsi="宋体"/>
          <w:szCs w:val="21"/>
        </w:rPr>
        <w:t>款规定执行。</w:t>
      </w:r>
    </w:p>
    <w:p>
      <w:pPr>
        <w:ind w:firstLine="411" w:firstLineChars="196"/>
        <w:rPr>
          <w:rFonts w:ascii="宋体" w:hAnsi="宋体"/>
          <w:szCs w:val="21"/>
        </w:rPr>
      </w:pPr>
      <w:r>
        <w:rPr>
          <w:rFonts w:hint="eastAsia" w:ascii="宋体" w:hAnsi="宋体"/>
          <w:szCs w:val="21"/>
        </w:rPr>
        <w:t>10.4如医院采购机构认为有必要组织现场答疑会，投标人应按照招标文件规定的时间或医院采购机构另行书面通知（包括网站发布的通知）的时间和地点，参与现场答疑会。</w:t>
      </w:r>
    </w:p>
    <w:p>
      <w:pPr>
        <w:ind w:firstLine="411" w:firstLineChars="196"/>
        <w:rPr>
          <w:rFonts w:ascii="宋体" w:hAnsi="宋体"/>
          <w:szCs w:val="21"/>
        </w:rPr>
      </w:pPr>
      <w:r>
        <w:rPr>
          <w:rFonts w:hint="eastAsia" w:ascii="宋体" w:hAnsi="宋体"/>
          <w:szCs w:val="21"/>
        </w:rPr>
        <w:t>10.5未参与招标答疑不作为否定投标人资格的理由。</w:t>
      </w:r>
    </w:p>
    <w:p>
      <w:pPr>
        <w:ind w:firstLine="411" w:firstLineChars="196"/>
        <w:rPr>
          <w:rFonts w:ascii="宋体" w:hAnsi="宋体"/>
        </w:rPr>
      </w:pPr>
    </w:p>
    <w:p>
      <w:pPr>
        <w:keepNext/>
        <w:keepLines/>
        <w:numPr>
          <w:ilvl w:val="0"/>
          <w:numId w:val="6"/>
        </w:numPr>
        <w:adjustRightInd w:val="0"/>
        <w:spacing w:before="120" w:beforeLines="50" w:after="120"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招标文件</w:t>
      </w:r>
    </w:p>
    <w:p>
      <w:pPr>
        <w:keepNext/>
        <w:keepLines/>
        <w:adjustRightInd w:val="0"/>
        <w:spacing w:before="120" w:beforeLines="50" w:after="120" w:afterLines="50"/>
        <w:textAlignment w:val="baseline"/>
        <w:outlineLvl w:val="1"/>
        <w:rPr>
          <w:rFonts w:ascii="Arial" w:hAnsi="Arial" w:eastAsia="黑体"/>
          <w:b/>
          <w:bCs/>
          <w:sz w:val="28"/>
          <w:szCs w:val="28"/>
        </w:rPr>
      </w:pPr>
    </w:p>
    <w:p>
      <w:pPr>
        <w:spacing w:line="360" w:lineRule="auto"/>
        <w:rPr>
          <w:rFonts w:ascii="黑体" w:hAnsi="宋体" w:eastAsia="黑体"/>
          <w:sz w:val="24"/>
        </w:rPr>
      </w:pPr>
      <w:r>
        <w:rPr>
          <w:rFonts w:hint="eastAsia" w:ascii="黑体" w:hAnsi="宋体" w:eastAsia="黑体"/>
          <w:sz w:val="24"/>
        </w:rPr>
        <w:t>11．招标文件的编制与组成</w:t>
      </w:r>
    </w:p>
    <w:p>
      <w:pPr>
        <w:snapToGrid w:val="0"/>
        <w:ind w:firstLine="420" w:firstLineChars="200"/>
        <w:rPr>
          <w:rFonts w:ascii="宋体" w:hAnsi="宋体"/>
          <w:szCs w:val="21"/>
        </w:rPr>
      </w:pPr>
      <w:r>
        <w:rPr>
          <w:rFonts w:hint="eastAsia" w:ascii="宋体" w:hAnsi="宋体"/>
          <w:szCs w:val="21"/>
        </w:rPr>
        <w:t>11.1招标文件除以下内容外，医院采购机构在招标（或谈判）期间发出的答疑、</w:t>
      </w:r>
      <w:r>
        <w:rPr>
          <w:rFonts w:ascii="宋体" w:hAnsi="宋体"/>
          <w:szCs w:val="21"/>
        </w:rPr>
        <w:t>澄清</w:t>
      </w:r>
      <w:r>
        <w:rPr>
          <w:rFonts w:hint="eastAsia" w:ascii="宋体" w:hAnsi="宋体"/>
          <w:szCs w:val="21"/>
        </w:rPr>
        <w:t>或修改等</w:t>
      </w:r>
      <w:r>
        <w:rPr>
          <w:rFonts w:ascii="宋体" w:hAnsi="宋体"/>
          <w:szCs w:val="21"/>
        </w:rPr>
        <w:t>相关公告或通知内容</w:t>
      </w:r>
      <w:r>
        <w:rPr>
          <w:rFonts w:hint="eastAsia" w:ascii="宋体" w:hAnsi="宋体"/>
          <w:szCs w:val="21"/>
        </w:rPr>
        <w:t>，均是招标文件的组成部分，对投标人起约束作用；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招标项目需求</w:t>
      </w:r>
    </w:p>
    <w:p>
      <w:pPr>
        <w:ind w:left="630" w:leftChars="300" w:firstLine="411" w:firstLineChars="196"/>
        <w:rPr>
          <w:rFonts w:ascii="宋体" w:hAnsi="宋体"/>
          <w:szCs w:val="21"/>
        </w:rPr>
      </w:pPr>
      <w:r>
        <w:rPr>
          <w:rFonts w:hint="eastAsia" w:ascii="宋体" w:hAnsi="宋体"/>
          <w:szCs w:val="21"/>
        </w:rPr>
        <w:t>第三章  投标文件格式</w:t>
      </w:r>
    </w:p>
    <w:p>
      <w:pPr>
        <w:ind w:left="630" w:leftChars="300" w:firstLine="411" w:firstLineChars="196"/>
        <w:rPr>
          <w:rFonts w:ascii="宋体" w:hAnsi="宋体"/>
          <w:szCs w:val="21"/>
        </w:rPr>
      </w:pPr>
      <w:r>
        <w:rPr>
          <w:rFonts w:hint="eastAsia" w:ascii="宋体" w:hAnsi="宋体"/>
          <w:szCs w:val="21"/>
        </w:rPr>
        <w:t>第四章  合同及履约情况反馈表格式</w:t>
      </w:r>
    </w:p>
    <w:p>
      <w:pPr>
        <w:ind w:left="420" w:leftChars="200" w:firstLine="413" w:firstLineChars="196"/>
        <w:rPr>
          <w:rFonts w:ascii="宋体" w:hAnsi="宋体"/>
          <w:b/>
          <w:szCs w:val="21"/>
        </w:rPr>
      </w:pPr>
      <w:r>
        <w:rPr>
          <w:rFonts w:hint="eastAsia" w:ascii="宋体" w:hAnsi="宋体"/>
          <w:b/>
          <w:szCs w:val="21"/>
        </w:rPr>
        <w:t>第二册  通用条款</w:t>
      </w:r>
    </w:p>
    <w:p>
      <w:pPr>
        <w:numPr>
          <w:ilvl w:val="1"/>
          <w:numId w:val="0"/>
        </w:numPr>
        <w:tabs>
          <w:tab w:val="left" w:pos="360"/>
        </w:tabs>
        <w:ind w:firstLine="1079" w:firstLineChars="514"/>
        <w:rPr>
          <w:szCs w:val="21"/>
        </w:rPr>
      </w:pPr>
      <w:r>
        <w:rPr>
          <w:rFonts w:hint="eastAsia"/>
          <w:szCs w:val="21"/>
        </w:rPr>
        <w:t>第一章  总则</w:t>
      </w:r>
    </w:p>
    <w:p>
      <w:pPr>
        <w:numPr>
          <w:ilvl w:val="1"/>
          <w:numId w:val="0"/>
        </w:numPr>
        <w:tabs>
          <w:tab w:val="left" w:pos="360"/>
        </w:tabs>
        <w:ind w:firstLine="1079" w:firstLineChars="514"/>
        <w:rPr>
          <w:szCs w:val="21"/>
        </w:rPr>
      </w:pPr>
      <w:r>
        <w:rPr>
          <w:rFonts w:hint="eastAsia"/>
          <w:szCs w:val="21"/>
        </w:rPr>
        <w:t>第二章  招标文件</w:t>
      </w:r>
    </w:p>
    <w:p>
      <w:pPr>
        <w:numPr>
          <w:ilvl w:val="1"/>
          <w:numId w:val="0"/>
        </w:numPr>
        <w:tabs>
          <w:tab w:val="left" w:pos="360"/>
        </w:tabs>
        <w:ind w:firstLine="1079" w:firstLineChars="514"/>
        <w:rPr>
          <w:szCs w:val="21"/>
        </w:rPr>
      </w:pPr>
      <w:r>
        <w:rPr>
          <w:rFonts w:hint="eastAsia"/>
          <w:szCs w:val="21"/>
        </w:rPr>
        <w:t>第三章  投标文件的编制</w:t>
      </w:r>
    </w:p>
    <w:p>
      <w:pPr>
        <w:numPr>
          <w:ilvl w:val="1"/>
          <w:numId w:val="0"/>
        </w:numPr>
        <w:tabs>
          <w:tab w:val="left" w:pos="360"/>
        </w:tabs>
        <w:ind w:firstLine="1079" w:firstLineChars="514"/>
        <w:rPr>
          <w:szCs w:val="21"/>
        </w:rPr>
      </w:pPr>
      <w:r>
        <w:rPr>
          <w:rFonts w:hint="eastAsia"/>
          <w:szCs w:val="21"/>
        </w:rPr>
        <w:t>第四章  投标文件的递交</w:t>
      </w:r>
    </w:p>
    <w:p>
      <w:pPr>
        <w:numPr>
          <w:ilvl w:val="1"/>
          <w:numId w:val="0"/>
        </w:numPr>
        <w:tabs>
          <w:tab w:val="left" w:pos="360"/>
        </w:tabs>
        <w:ind w:firstLine="1079" w:firstLineChars="514"/>
        <w:rPr>
          <w:szCs w:val="21"/>
        </w:rPr>
      </w:pPr>
      <w:r>
        <w:rPr>
          <w:rFonts w:hint="eastAsia"/>
          <w:szCs w:val="21"/>
        </w:rPr>
        <w:t>第五章  开标</w:t>
      </w:r>
    </w:p>
    <w:p>
      <w:pPr>
        <w:numPr>
          <w:ilvl w:val="1"/>
          <w:numId w:val="0"/>
        </w:numPr>
        <w:tabs>
          <w:tab w:val="left" w:pos="360"/>
        </w:tabs>
        <w:ind w:firstLine="1079" w:firstLineChars="514"/>
        <w:rPr>
          <w:szCs w:val="21"/>
        </w:rPr>
      </w:pPr>
      <w:r>
        <w:rPr>
          <w:rFonts w:hint="eastAsia"/>
          <w:szCs w:val="21"/>
        </w:rPr>
        <w:t>第六章  评标要求</w:t>
      </w:r>
    </w:p>
    <w:p>
      <w:pPr>
        <w:numPr>
          <w:ilvl w:val="1"/>
          <w:numId w:val="0"/>
        </w:numPr>
        <w:tabs>
          <w:tab w:val="left" w:pos="360"/>
        </w:tabs>
        <w:ind w:firstLine="1079" w:firstLineChars="514"/>
        <w:rPr>
          <w:szCs w:val="21"/>
        </w:rPr>
      </w:pPr>
      <w:r>
        <w:rPr>
          <w:rFonts w:hint="eastAsia"/>
          <w:szCs w:val="21"/>
        </w:rPr>
        <w:t>第七章  评标程序及评标方法</w:t>
      </w:r>
    </w:p>
    <w:p>
      <w:pPr>
        <w:numPr>
          <w:ilvl w:val="1"/>
          <w:numId w:val="0"/>
        </w:numPr>
        <w:tabs>
          <w:tab w:val="left" w:pos="360"/>
        </w:tabs>
        <w:ind w:firstLine="1079" w:firstLineChars="514"/>
        <w:rPr>
          <w:szCs w:val="21"/>
        </w:rPr>
      </w:pPr>
      <w:r>
        <w:rPr>
          <w:rFonts w:hint="eastAsia"/>
          <w:szCs w:val="21"/>
        </w:rPr>
        <w:t>第八章  定标及公示</w:t>
      </w:r>
    </w:p>
    <w:p>
      <w:pPr>
        <w:numPr>
          <w:ilvl w:val="1"/>
          <w:numId w:val="0"/>
        </w:numPr>
        <w:tabs>
          <w:tab w:val="left" w:pos="360"/>
        </w:tabs>
        <w:ind w:firstLine="1079" w:firstLineChars="514"/>
        <w:rPr>
          <w:szCs w:val="21"/>
        </w:rPr>
      </w:pPr>
      <w:r>
        <w:rPr>
          <w:rFonts w:hint="eastAsia"/>
          <w:szCs w:val="21"/>
        </w:rPr>
        <w:t>第九章  公开招标失败的后续处理</w:t>
      </w:r>
    </w:p>
    <w:p>
      <w:pPr>
        <w:numPr>
          <w:ilvl w:val="1"/>
          <w:numId w:val="0"/>
        </w:numPr>
        <w:tabs>
          <w:tab w:val="left" w:pos="360"/>
        </w:tabs>
        <w:ind w:firstLine="1079" w:firstLineChars="514"/>
        <w:rPr>
          <w:szCs w:val="21"/>
        </w:rPr>
      </w:pPr>
      <w:r>
        <w:rPr>
          <w:rFonts w:hint="eastAsia"/>
          <w:szCs w:val="21"/>
        </w:rPr>
        <w:t>第十章  合同的授予与备案</w:t>
      </w:r>
    </w:p>
    <w:p>
      <w:pPr>
        <w:numPr>
          <w:ilvl w:val="1"/>
          <w:numId w:val="0"/>
        </w:numPr>
        <w:tabs>
          <w:tab w:val="left" w:pos="360"/>
        </w:tabs>
        <w:ind w:firstLine="1079" w:firstLineChars="514"/>
        <w:rPr>
          <w:szCs w:val="21"/>
        </w:rPr>
      </w:pPr>
      <w:r>
        <w:rPr>
          <w:rFonts w:hint="eastAsia"/>
          <w:szCs w:val="21"/>
        </w:rPr>
        <w:t>第十一章  质疑处理</w:t>
      </w:r>
    </w:p>
    <w:p>
      <w:pPr>
        <w:ind w:firstLine="411" w:firstLineChars="196"/>
        <w:rPr>
          <w:rFonts w:ascii="宋体" w:hAnsi="宋体"/>
          <w:szCs w:val="21"/>
        </w:rPr>
      </w:pPr>
      <w:r>
        <w:rPr>
          <w:rFonts w:hint="eastAsia" w:ascii="宋体" w:hAnsi="宋体"/>
          <w:szCs w:val="21"/>
        </w:rPr>
        <w:t>11.2 投标人获得招标文件后，应仔细检查招标文件的所有内容，如有疑问应在答疑截止时间之前向医院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应由投标人自行承担。</w:t>
      </w:r>
    </w:p>
    <w:p>
      <w:pPr>
        <w:ind w:firstLine="411" w:firstLineChars="196"/>
        <w:rPr>
          <w:rFonts w:ascii="宋体" w:hAnsi="宋体"/>
          <w:szCs w:val="21"/>
        </w:rPr>
      </w:pPr>
      <w:r>
        <w:rPr>
          <w:rFonts w:hint="eastAsia" w:ascii="宋体" w:hAnsi="宋体"/>
          <w:szCs w:val="21"/>
        </w:rPr>
        <w:t>11.3</w:t>
      </w:r>
      <w:r>
        <w:rPr>
          <w:rFonts w:hint="eastAsia" w:ascii="宋体" w:hAnsi="宋体"/>
        </w:rPr>
        <w:t>任何人或任何组织向投标人提交的任何书面或口头资料，未经医院采购机构在网上发布或书面通知，均作无效处理，不得作为招标文件的组成部分。医院采购机构对投标人由此而做出的推论、理解和结论概不负责。</w:t>
      </w:r>
    </w:p>
    <w:p>
      <w:pPr>
        <w:spacing w:line="360" w:lineRule="auto"/>
        <w:rPr>
          <w:rFonts w:ascii="黑体" w:hAnsi="宋体" w:eastAsia="黑体"/>
          <w:sz w:val="24"/>
        </w:rPr>
      </w:pPr>
      <w:r>
        <w:rPr>
          <w:rFonts w:hint="eastAsia" w:ascii="黑体" w:hAnsi="宋体" w:eastAsia="黑体"/>
          <w:sz w:val="24"/>
        </w:rPr>
        <w:t>12．招标文件的澄清</w:t>
      </w:r>
    </w:p>
    <w:p>
      <w:pPr>
        <w:snapToGrid w:val="0"/>
        <w:ind w:firstLine="420" w:firstLineChars="200"/>
        <w:rPr>
          <w:rFonts w:ascii="宋体" w:hAnsi="宋体"/>
          <w:szCs w:val="21"/>
        </w:rPr>
      </w:pPr>
      <w:r>
        <w:rPr>
          <w:rFonts w:hint="eastAsia" w:ascii="宋体" w:hAnsi="宋体"/>
          <w:szCs w:val="21"/>
        </w:rPr>
        <w:t>12.1投标人如对招标文件内容有疑问，必须在招标文件规定的答疑截止时间前以</w:t>
      </w:r>
      <w:r>
        <w:rPr>
          <w:rFonts w:ascii="宋体" w:hAnsi="宋体"/>
          <w:szCs w:val="21"/>
        </w:rPr>
        <w:t>书面</w:t>
      </w:r>
      <w:r>
        <w:rPr>
          <w:rFonts w:hint="eastAsia" w:ascii="宋体" w:hAnsi="宋体"/>
          <w:szCs w:val="21"/>
        </w:rPr>
        <w:t>形式提交</w:t>
      </w:r>
      <w:r>
        <w:rPr>
          <w:rFonts w:ascii="宋体" w:hAnsi="宋体"/>
          <w:szCs w:val="21"/>
        </w:rPr>
        <w:t>给</w:t>
      </w:r>
      <w:r>
        <w:rPr>
          <w:rFonts w:hint="eastAsia" w:ascii="宋体" w:hAnsi="宋体"/>
          <w:szCs w:val="21"/>
        </w:rPr>
        <w:t>向医院采购机构。不论是医院采购机构根据需要主动对招标文件进行必要的澄清或是根据投标人的要求对招标文件做出澄清，医院采购机构都将在投标截止日期前以书面形式（包括医院采购机构网站公开发布方式）答复或发送给所有投标人。澄清纪要作为招标文件的组成部分，对投标人起约束作用；</w:t>
      </w:r>
    </w:p>
    <w:p>
      <w:pPr>
        <w:snapToGrid w:val="0"/>
        <w:ind w:firstLine="420" w:firstLineChars="200"/>
        <w:rPr>
          <w:rFonts w:ascii="宋体" w:hAnsi="宋体"/>
          <w:szCs w:val="21"/>
        </w:rPr>
      </w:pPr>
      <w:r>
        <w:rPr>
          <w:rFonts w:hint="eastAsia" w:ascii="宋体" w:hAnsi="宋体"/>
          <w:szCs w:val="21"/>
        </w:rPr>
        <w:t>12.2对于没有提出澄清又参与了该项目投标的供应商将被视为完全认同该</w:t>
      </w:r>
      <w:r>
        <w:rPr>
          <w:rFonts w:hint="eastAsia"/>
        </w:rPr>
        <w:t>招标文件（含澄清纪要）</w:t>
      </w:r>
      <w:r>
        <w:rPr>
          <w:rFonts w:hint="eastAsia" w:ascii="宋体" w:hAnsi="宋体"/>
          <w:szCs w:val="21"/>
        </w:rPr>
        <w:t>。</w:t>
      </w:r>
    </w:p>
    <w:p>
      <w:pPr>
        <w:snapToGrid w:val="0"/>
        <w:ind w:firstLine="420" w:firstLineChars="200"/>
        <w:rPr>
          <w:rFonts w:ascii="宋体" w:hAnsi="宋体"/>
          <w:szCs w:val="21"/>
        </w:rPr>
      </w:pPr>
      <w:r>
        <w:rPr>
          <w:rFonts w:hint="eastAsia" w:ascii="宋体" w:hAnsi="宋体"/>
          <w:szCs w:val="21"/>
        </w:rPr>
        <w:t>12.3 对招标文件中描述有歧义或前后不一致的地方，评审委员会有权进行评判，但对同一条款的评判应适用于每个投标人。</w:t>
      </w:r>
    </w:p>
    <w:p>
      <w:pPr>
        <w:spacing w:line="360" w:lineRule="auto"/>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3.1招标文件发出后，在投标截止日期前任何时候，确需要变更招标内容的，医院采购机构可主动或在解答投标人提出的澄清问题时对招标文件进行修改；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3.2招标文件的修改以书面形式（包括网站公开发布方式）发送给所有投标人，招标文件的修改内容作为招标文件的组成部分，并具有约束力。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疑）纪要、招标文件修改补充通知内容均以书面（包括网站公开发布方式）明确的内容为准。当招标文件、修改补充通知、澄清（答疑）纪要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医院采购机构保证招标文件澄清（答疑）纪要和招标文件修改补充通知在投标截止时间前以网站公开发布形式或书面形式发送给所有投标人。为使投标人在编写投标文件时有充分时间对招标文件的修改部分进行研究，医院采购机构可以酌情延长递交投标文件的截止日期，具体时间将在修改补充通知中明确。</w:t>
      </w:r>
    </w:p>
    <w:p>
      <w:pPr>
        <w:ind w:firstLine="411" w:firstLineChars="196"/>
        <w:rPr>
          <w:rFonts w:ascii="宋体" w:hAnsi="宋体"/>
          <w:szCs w:val="21"/>
        </w:rPr>
      </w:pPr>
    </w:p>
    <w:p>
      <w:pPr>
        <w:keepNext/>
        <w:keepLines/>
        <w:numPr>
          <w:ilvl w:val="0"/>
          <w:numId w:val="6"/>
        </w:numPr>
        <w:adjustRightInd w:val="0"/>
        <w:spacing w:before="120" w:beforeLines="50" w:after="120"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投标文件的编制</w:t>
      </w:r>
    </w:p>
    <w:p>
      <w:pPr>
        <w:keepNext/>
        <w:keepLines/>
        <w:adjustRightInd w:val="0"/>
        <w:spacing w:before="120" w:beforeLines="50" w:after="120" w:afterLines="50"/>
        <w:textAlignment w:val="baseline"/>
        <w:outlineLvl w:val="1"/>
        <w:rPr>
          <w:rFonts w:ascii="Arial" w:hAnsi="Arial" w:eastAsia="黑体"/>
          <w:b/>
          <w:bCs/>
          <w:sz w:val="28"/>
          <w:szCs w:val="28"/>
        </w:rPr>
      </w:pPr>
    </w:p>
    <w:p>
      <w:pPr>
        <w:spacing w:line="360" w:lineRule="auto"/>
        <w:rPr>
          <w:rFonts w:ascii="黑体" w:hAnsi="宋体" w:eastAsia="黑体"/>
          <w:sz w:val="24"/>
        </w:rPr>
      </w:pPr>
      <w:r>
        <w:rPr>
          <w:rFonts w:hint="eastAsia" w:ascii="黑体" w:hAnsi="宋体" w:eastAsia="黑体"/>
          <w:sz w:val="24"/>
        </w:rPr>
        <w:t>14．投标文件的语言及度量单位</w:t>
      </w:r>
    </w:p>
    <w:p>
      <w:pPr>
        <w:ind w:firstLine="411" w:firstLineChars="196"/>
        <w:rPr>
          <w:rFonts w:ascii="宋体" w:hAnsi="宋体"/>
          <w:szCs w:val="21"/>
        </w:rPr>
      </w:pPr>
      <w:r>
        <w:rPr>
          <w:rFonts w:hint="eastAsia" w:ascii="宋体" w:hAnsi="宋体"/>
          <w:szCs w:val="21"/>
        </w:rPr>
        <w:t>14.1 投标人和医院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p>
      <w:pPr>
        <w:spacing w:line="360" w:lineRule="auto"/>
        <w:rPr>
          <w:rFonts w:ascii="黑体" w:hAnsi="宋体" w:eastAsia="黑体"/>
          <w:sz w:val="24"/>
        </w:rPr>
      </w:pPr>
      <w:r>
        <w:rPr>
          <w:rFonts w:hint="eastAsia" w:ascii="黑体" w:hAnsi="宋体" w:eastAsia="黑体"/>
          <w:sz w:val="24"/>
        </w:rPr>
        <w:t>15．投标文件的组成</w:t>
      </w:r>
    </w:p>
    <w:p>
      <w:pPr>
        <w:ind w:firstLine="413" w:firstLineChars="196"/>
        <w:rPr>
          <w:rFonts w:ascii="宋体" w:hAnsi="宋体"/>
          <w:b/>
          <w:szCs w:val="21"/>
        </w:rPr>
      </w:pPr>
      <w:r>
        <w:rPr>
          <w:rFonts w:hint="eastAsia" w:ascii="宋体" w:hAnsi="宋体"/>
          <w:b/>
          <w:szCs w:val="21"/>
        </w:rPr>
        <w:t>具体内容请详见本项目招标文件</w:t>
      </w:r>
      <w:r>
        <w:rPr>
          <w:rFonts w:ascii="宋体" w:hAnsi="宋体"/>
          <w:b/>
          <w:szCs w:val="21"/>
        </w:rPr>
        <w:t>第一册“</w:t>
      </w:r>
      <w:r>
        <w:rPr>
          <w:rFonts w:hint="eastAsia" w:ascii="宋体" w:hAnsi="宋体"/>
          <w:b/>
          <w:szCs w:val="21"/>
        </w:rPr>
        <w:t>专用条款</w:t>
      </w:r>
      <w:r>
        <w:rPr>
          <w:rFonts w:ascii="宋体" w:hAnsi="宋体"/>
          <w:b/>
          <w:szCs w:val="21"/>
        </w:rPr>
        <w:t>”</w:t>
      </w:r>
      <w:r>
        <w:rPr>
          <w:rFonts w:hint="eastAsia" w:ascii="宋体" w:hAnsi="宋体"/>
          <w:b/>
          <w:szCs w:val="21"/>
        </w:rPr>
        <w:t>的相关内容。</w:t>
      </w:r>
    </w:p>
    <w:p>
      <w:pPr>
        <w:spacing w:line="360" w:lineRule="auto"/>
        <w:rPr>
          <w:rFonts w:ascii="黑体" w:hAnsi="宋体" w:eastAsia="黑体"/>
          <w:sz w:val="24"/>
        </w:rPr>
      </w:pPr>
      <w:r>
        <w:rPr>
          <w:rFonts w:hint="eastAsia"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（表格可以按同样格式扩展）。</w:t>
      </w:r>
    </w:p>
    <w:p>
      <w:pPr>
        <w:spacing w:line="360" w:lineRule="auto"/>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如招标文件第一册“专用条款”</w:t>
      </w:r>
      <w:r>
        <w:rPr>
          <w:rFonts w:ascii="宋体" w:hAnsi="宋体"/>
          <w:szCs w:val="21"/>
        </w:rPr>
        <w:t>无另外</w:t>
      </w:r>
      <w:r>
        <w:rPr>
          <w:rFonts w:hint="eastAsia" w:ascii="宋体" w:hAnsi="宋体"/>
          <w:szCs w:val="21"/>
        </w:rPr>
        <w:t>规定</w:t>
      </w:r>
      <w:r>
        <w:rPr>
          <w:rFonts w:ascii="宋体" w:hAnsi="宋体"/>
          <w:szCs w:val="21"/>
        </w:rPr>
        <w:t>，</w:t>
      </w:r>
      <w:r>
        <w:rPr>
          <w:rFonts w:hint="eastAsia" w:ascii="宋体" w:hAnsi="宋体"/>
          <w:szCs w:val="21"/>
        </w:rPr>
        <w:t>本项目的投标应以人民币计。</w:t>
      </w:r>
    </w:p>
    <w:p>
      <w:pPr>
        <w:spacing w:line="360" w:lineRule="auto"/>
        <w:rPr>
          <w:rFonts w:ascii="黑体" w:hAnsi="宋体" w:eastAsia="黑体"/>
          <w:sz w:val="24"/>
        </w:rPr>
      </w:pPr>
      <w:r>
        <w:rPr>
          <w:rFonts w:hint="eastAsia" w:ascii="黑体" w:hAnsi="宋体" w:eastAsia="黑体"/>
          <w:sz w:val="24"/>
        </w:rPr>
        <w:t>18．证明投标文件投标技术方案的合格性和符合招标文件规定的文件要求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投标人应按照本项目</w:t>
      </w:r>
      <w:r>
        <w:rPr>
          <w:rFonts w:ascii="宋体" w:hAnsi="宋体"/>
          <w:szCs w:val="21"/>
        </w:rPr>
        <w:t>招标文</w:t>
      </w:r>
      <w:r>
        <w:rPr>
          <w:rFonts w:hint="eastAsia" w:ascii="宋体" w:hAnsi="宋体"/>
          <w:szCs w:val="21"/>
        </w:rPr>
        <w:t>件第一册“</w:t>
      </w:r>
      <w:r>
        <w:rPr>
          <w:rFonts w:ascii="宋体" w:hAnsi="宋体"/>
          <w:szCs w:val="21"/>
        </w:rPr>
        <w:t>专用条款</w:t>
      </w:r>
      <w:r>
        <w:rPr>
          <w:rFonts w:hint="eastAsia" w:ascii="宋体" w:hAnsi="宋体"/>
          <w:szCs w:val="21"/>
        </w:rPr>
        <w:t>”</w:t>
      </w:r>
      <w:r>
        <w:rPr>
          <w:rFonts w:ascii="宋体" w:hAnsi="宋体"/>
          <w:szCs w:val="21"/>
        </w:rPr>
        <w:t>的要求</w:t>
      </w:r>
      <w:r>
        <w:rPr>
          <w:rFonts w:hint="eastAsia" w:ascii="宋体" w:hAnsi="宋体"/>
          <w:szCs w:val="21"/>
        </w:rPr>
        <w:t>提交证明文件证明其投标技术方案项下的货物、工程和服务的合格性符合招标文件规定。该投标技术方案及其证明文件作为投标文件的一部分。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w:t>
      </w:r>
      <w:r>
        <w:rPr>
          <w:rFonts w:ascii="宋体" w:hAnsi="宋体"/>
          <w:szCs w:val="21"/>
        </w:rPr>
        <w:t>文件</w:t>
      </w:r>
      <w:r>
        <w:rPr>
          <w:rFonts w:hint="eastAsia" w:ascii="宋体" w:hAnsi="宋体"/>
          <w:szCs w:val="21"/>
        </w:rPr>
        <w:t>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18.2.5我国政府机构出具的产品检验和核准证件应为证件正面、背面和附件标注的全部具体内容；产品检验和核准证件的尺寸和清晰度应该能够被阅读、识别和判断，</w:t>
      </w:r>
      <w:r>
        <w:rPr>
          <w:rFonts w:ascii="宋体" w:hAnsi="宋体"/>
          <w:szCs w:val="21"/>
        </w:rPr>
        <w:t>提供原件复印件</w:t>
      </w:r>
      <w:r>
        <w:rPr>
          <w:rFonts w:hint="eastAsia" w:ascii="宋体" w:hAnsi="宋体"/>
          <w:szCs w:val="21"/>
        </w:rPr>
        <w:t>。</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.4</w:t>
      </w:r>
      <w:r>
        <w:rPr>
          <w:rFonts w:hint="eastAsia" w:ascii="宋体" w:hAnsi="宋体"/>
          <w:szCs w:val="21"/>
        </w:rPr>
        <w:t>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w:t>
      </w:r>
      <w:r>
        <w:rPr>
          <w:rFonts w:ascii="宋体" w:hAnsi="宋体"/>
          <w:szCs w:val="21"/>
        </w:rPr>
        <w:t>5</w:t>
      </w:r>
      <w:r>
        <w:rPr>
          <w:rFonts w:hint="eastAsia" w:ascii="宋体" w:hAnsi="宋体"/>
          <w:szCs w:val="21"/>
        </w:rPr>
        <w:t>为保证公平公正，除非另有规定或说明，投标人对同一项目投标时，不得同时提供两套或两套以上的投标方案。</w:t>
      </w:r>
    </w:p>
    <w:p>
      <w:pPr>
        <w:spacing w:line="360" w:lineRule="auto"/>
        <w:rPr>
          <w:rFonts w:ascii="黑体" w:hAnsi="宋体" w:eastAsia="黑体"/>
          <w:sz w:val="24"/>
        </w:rPr>
      </w:pPr>
      <w:r>
        <w:rPr>
          <w:rFonts w:hint="eastAsia" w:ascii="黑体" w:hAnsi="宋体" w:eastAsia="黑体"/>
          <w:sz w:val="24"/>
        </w:rPr>
        <w:t>19．投标文件其他证明文件的要求</w:t>
      </w:r>
    </w:p>
    <w:p>
      <w:pPr>
        <w:ind w:firstLine="411" w:firstLineChars="196"/>
        <w:rPr>
          <w:rFonts w:ascii="宋体" w:hAnsi="宋体"/>
          <w:szCs w:val="21"/>
        </w:rPr>
      </w:pPr>
      <w:r>
        <w:rPr>
          <w:rFonts w:hint="eastAsia" w:ascii="宋体" w:hAnsi="宋体"/>
          <w:szCs w:val="21"/>
        </w:rPr>
        <w:t>19.1对项目招标文件《评标信息》评分项中涉及的相关业绩、社保情况等内容以及《资格性审查表》和《符合性审查表》中涉及的证明材料，投标人应提供相关部门出具的证明材料原件复印件，原件备查。有关复印的尺寸和清晰度要求能够被阅读、识别和判断。若投标人未按要求提供证明材料或提供的是部分证明材料或提供不清晰的复印件的，评审委员会有权认定其投标文件未对招标文件有关需求进行响应，涉及资格性检查或符合性检查的予以投标</w:t>
      </w:r>
      <w:r>
        <w:rPr>
          <w:rFonts w:ascii="宋体" w:hAnsi="宋体"/>
          <w:szCs w:val="21"/>
        </w:rPr>
        <w:t>无效</w:t>
      </w:r>
      <w:r>
        <w:rPr>
          <w:rFonts w:hint="eastAsia" w:ascii="宋体" w:hAnsi="宋体"/>
          <w:szCs w:val="21"/>
        </w:rPr>
        <w:t>处理，涉及《评标信息》打分项的则该项评分予以0分处理。</w:t>
      </w:r>
    </w:p>
    <w:p>
      <w:pPr>
        <w:ind w:firstLine="411" w:firstLineChars="196"/>
        <w:rPr>
          <w:rFonts w:ascii="宋体" w:hAnsi="宋体"/>
          <w:szCs w:val="21"/>
        </w:rPr>
      </w:pPr>
      <w:r>
        <w:rPr>
          <w:rFonts w:hint="eastAsia" w:ascii="宋体" w:hAnsi="宋体"/>
          <w:szCs w:val="21"/>
        </w:rPr>
        <w:t>19.2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spacing w:line="360" w:lineRule="auto"/>
        <w:rPr>
          <w:rFonts w:ascii="黑体" w:hAnsi="宋体" w:eastAsia="黑体"/>
          <w:sz w:val="24"/>
        </w:rPr>
      </w:pPr>
      <w:r>
        <w:rPr>
          <w:rFonts w:hint="eastAsia" w:ascii="黑体" w:hAnsi="宋体" w:eastAsia="黑体"/>
          <w:sz w:val="24"/>
        </w:rPr>
        <w:t>20．投标有效期</w:t>
      </w:r>
    </w:p>
    <w:p>
      <w:pPr>
        <w:ind w:firstLine="411" w:firstLineChars="196"/>
        <w:rPr>
          <w:rFonts w:ascii="宋体" w:hAnsi="宋体"/>
          <w:szCs w:val="21"/>
        </w:rPr>
      </w:pPr>
      <w:r>
        <w:rPr>
          <w:rFonts w:hint="eastAsia" w:ascii="宋体" w:hAnsi="宋体"/>
          <w:szCs w:val="21"/>
        </w:rPr>
        <w:t>20.1 投标有效期为</w:t>
      </w:r>
      <w:r>
        <w:rPr>
          <w:rFonts w:hint="eastAsia" w:ascii="Arial" w:hAnsi="Arial" w:cs="Arial"/>
          <w:szCs w:val="21"/>
        </w:rPr>
        <w:t>从投标截止之日算起的日历天数，具体见专用条款中投标有效期的天数要求。</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的情况下，医院采购机构在原定的投标有效期满之前，可以根据需要以书面形式（包括网站公开发布方式）向投标人提出延长投标有效期的要求，对此要求投标人须以书面形式予以答复，投标人可以拒绝医院采购机构此项要求，其投标在原投标有效期满后不再有效。同意延长投标有效期的投标人不能要求也不允许修改其投标文件，但应当相应的延长投标担保的有效期；</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中标单位的投标书有效期，截止于完成本招标文件规定的全部项目内容，并通过竣工验收及保修结束。</w:t>
      </w:r>
    </w:p>
    <w:p>
      <w:pPr>
        <w:spacing w:line="360" w:lineRule="auto"/>
        <w:rPr>
          <w:rFonts w:ascii="黑体" w:hAnsi="宋体" w:eastAsia="黑体"/>
          <w:sz w:val="24"/>
        </w:rPr>
      </w:pPr>
      <w:r>
        <w:rPr>
          <w:rFonts w:hint="eastAsia" w:ascii="黑体" w:hAnsi="宋体" w:eastAsia="黑体"/>
          <w:sz w:val="24"/>
        </w:rPr>
        <w:t>21．关于投标保证金</w:t>
      </w:r>
    </w:p>
    <w:p>
      <w:pPr>
        <w:ind w:firstLine="411" w:firstLineChars="196"/>
        <w:rPr>
          <w:rFonts w:ascii="宋体" w:hAnsi="宋体"/>
          <w:szCs w:val="21"/>
        </w:rPr>
      </w:pPr>
      <w:r>
        <w:rPr>
          <w:rFonts w:hint="eastAsia" w:ascii="宋体" w:hAnsi="宋体"/>
          <w:szCs w:val="21"/>
        </w:rPr>
        <w:t>21.1 为切实减轻企业负担，降低制度性交易成本，</w:t>
      </w:r>
      <w:r>
        <w:rPr>
          <w:rFonts w:ascii="宋体" w:hAnsi="宋体"/>
          <w:szCs w:val="21"/>
        </w:rPr>
        <w:t>一般采购项目不收取投标保证金。</w:t>
      </w:r>
    </w:p>
    <w:p>
      <w:pPr>
        <w:ind w:firstLine="411" w:firstLineChars="196"/>
        <w:rPr>
          <w:rFonts w:ascii="宋体" w:hAnsi="宋体"/>
          <w:szCs w:val="21"/>
        </w:rPr>
      </w:pPr>
      <w:r>
        <w:rPr>
          <w:rFonts w:hint="eastAsia" w:ascii="宋体" w:hAnsi="宋体"/>
          <w:szCs w:val="21"/>
        </w:rPr>
        <w:t>21.2 若为重大项目，医院采购机构可自行决定另外收取投标保证金，不受21</w:t>
      </w:r>
      <w:r>
        <w:rPr>
          <w:rFonts w:ascii="宋体" w:hAnsi="宋体"/>
          <w:szCs w:val="21"/>
        </w:rPr>
        <w:t>.1</w:t>
      </w:r>
      <w:r>
        <w:rPr>
          <w:rFonts w:hint="eastAsia" w:ascii="宋体" w:hAnsi="宋体"/>
          <w:szCs w:val="21"/>
        </w:rPr>
        <w:t>款限制。是否另外收取投标保证金，请见本招标文件“专用条款”《对通用条款的补充内容》中的相关要求。</w:t>
      </w:r>
    </w:p>
    <w:p>
      <w:pPr>
        <w:spacing w:line="360" w:lineRule="auto"/>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22.1投标人所提交的投标文件应完全满足招标文件（包括图纸和技术规范所示的基本技术设计）的要求。除非招标的项目明确允许投标人提交替代方案，否则投标人有关替代方案的条款将初审不通过，投标无效。</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spacing w:line="360" w:lineRule="auto"/>
        <w:rPr>
          <w:rFonts w:ascii="黑体" w:hAnsi="宋体" w:eastAsia="黑体"/>
          <w:sz w:val="24"/>
        </w:rPr>
      </w:pPr>
      <w:r>
        <w:rPr>
          <w:rFonts w:hint="eastAsia" w:ascii="黑体" w:hAnsi="宋体" w:eastAsia="黑体"/>
          <w:sz w:val="24"/>
        </w:rPr>
        <w:t>23．</w:t>
      </w:r>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 投标人需按</w:t>
      </w:r>
      <w:r>
        <w:rPr>
          <w:rFonts w:ascii="宋体" w:hAnsi="宋体"/>
        </w:rPr>
        <w:t>项目</w:t>
      </w:r>
      <w:r>
        <w:rPr>
          <w:rFonts w:hint="eastAsia" w:ascii="宋体" w:hAnsi="宋体"/>
        </w:rPr>
        <w:t>采购</w:t>
      </w:r>
      <w:r>
        <w:rPr>
          <w:rFonts w:ascii="宋体" w:hAnsi="宋体"/>
        </w:rPr>
        <w:t>文件要求</w:t>
      </w:r>
      <w:r>
        <w:rPr>
          <w:rFonts w:hint="eastAsia" w:ascii="宋体" w:hAnsi="宋体"/>
        </w:rPr>
        <w:t>准备所投项目的纸质投标文件正副本。</w:t>
      </w:r>
    </w:p>
    <w:p>
      <w:pPr>
        <w:ind w:firstLine="413" w:firstLineChars="196"/>
        <w:rPr>
          <w:rFonts w:ascii="宋体" w:hAnsi="宋体"/>
        </w:rPr>
      </w:pPr>
      <w:r>
        <w:rPr>
          <w:rFonts w:hint="eastAsia" w:ascii="宋体" w:hAnsi="宋体"/>
          <w:b/>
        </w:rPr>
        <w:tab/>
      </w:r>
      <w:r>
        <w:rPr>
          <w:rFonts w:ascii="宋体" w:hAnsi="宋体"/>
        </w:rPr>
        <w:t xml:space="preserve">23.2 </w:t>
      </w:r>
      <w:r>
        <w:rPr>
          <w:rFonts w:hint="eastAsia" w:ascii="宋体" w:hAnsi="宋体"/>
        </w:rPr>
        <w:t>投标人在编辑投标文件时，在投标文件目录中属于本节点内容的必须在本节点中填写；填写到其他节点或附件的，评审</w:t>
      </w:r>
      <w:r>
        <w:rPr>
          <w:rFonts w:ascii="宋体" w:hAnsi="宋体"/>
        </w:rPr>
        <w:t>委员会</w:t>
      </w:r>
      <w:r>
        <w:rPr>
          <w:rFonts w:hint="eastAsia" w:ascii="宋体" w:hAnsi="宋体"/>
        </w:rPr>
        <w:t>有权</w:t>
      </w:r>
      <w:r>
        <w:rPr>
          <w:rFonts w:ascii="宋体" w:hAnsi="宋体"/>
        </w:rPr>
        <w:t>不予接受，</w:t>
      </w:r>
      <w:r>
        <w:rPr>
          <w:rFonts w:hint="eastAsia" w:ascii="宋体" w:hAnsi="宋体"/>
        </w:rPr>
        <w:t>一切后果由供应商自行承担。</w:t>
      </w:r>
    </w:p>
    <w:p>
      <w:pPr>
        <w:ind w:firstLine="411" w:firstLineChars="196"/>
        <w:rPr>
          <w:rFonts w:ascii="宋体" w:hAnsi="宋体"/>
        </w:rPr>
      </w:pPr>
      <w:r>
        <w:rPr>
          <w:rFonts w:hint="eastAsia" w:ascii="宋体" w:hAnsi="宋体"/>
        </w:rPr>
        <w:t>23.3 投标文件</w:t>
      </w:r>
      <w:r>
        <w:rPr>
          <w:rFonts w:ascii="宋体" w:hAnsi="宋体"/>
        </w:rPr>
        <w:t>要求盖章、签字的地方，</w:t>
      </w:r>
      <w:r>
        <w:rPr>
          <w:rFonts w:hint="eastAsia" w:ascii="宋体" w:hAnsi="宋体"/>
        </w:rPr>
        <w:t>应</w:t>
      </w:r>
      <w:r>
        <w:rPr>
          <w:rFonts w:ascii="宋体" w:hAnsi="宋体"/>
        </w:rPr>
        <w:t>按要求盖章、签字。评审委员会</w:t>
      </w:r>
      <w:r>
        <w:rPr>
          <w:rFonts w:hint="eastAsia" w:ascii="宋体" w:hAnsi="宋体"/>
        </w:rPr>
        <w:t>有权将缺、漏</w:t>
      </w:r>
      <w:r>
        <w:rPr>
          <w:rFonts w:ascii="宋体" w:hAnsi="宋体"/>
        </w:rPr>
        <w:t>盖章、签字</w:t>
      </w:r>
      <w:r>
        <w:rPr>
          <w:rFonts w:hint="eastAsia" w:ascii="宋体" w:hAnsi="宋体"/>
        </w:rPr>
        <w:t>的</w:t>
      </w:r>
      <w:r>
        <w:rPr>
          <w:rFonts w:ascii="宋体" w:hAnsi="宋体"/>
        </w:rPr>
        <w:t>投标文件认定为无效投标。</w:t>
      </w:r>
    </w:p>
    <w:p>
      <w:pPr>
        <w:ind w:firstLine="411" w:firstLineChars="196"/>
        <w:rPr>
          <w:rFonts w:ascii="宋体" w:hAnsi="宋体"/>
        </w:rPr>
      </w:pPr>
      <w:r>
        <w:rPr>
          <w:rFonts w:hint="eastAsia" w:ascii="宋体" w:hAnsi="宋体"/>
        </w:rPr>
        <w:t>23.</w:t>
      </w:r>
      <w:r>
        <w:rPr>
          <w:rFonts w:ascii="宋体" w:hAnsi="宋体"/>
        </w:rPr>
        <w:t xml:space="preserve">4 </w:t>
      </w:r>
      <w:r>
        <w:rPr>
          <w:rFonts w:hint="eastAsia" w:ascii="宋体" w:hAnsi="宋体"/>
        </w:rPr>
        <w:t>电报、电话、传真形式的投标概不接受。</w:t>
      </w:r>
    </w:p>
    <w:p>
      <w:pPr>
        <w:ind w:firstLine="411" w:firstLineChars="196"/>
        <w:rPr>
          <w:rFonts w:ascii="宋体" w:hAnsi="宋体"/>
        </w:rPr>
      </w:pPr>
    </w:p>
    <w:p>
      <w:pPr>
        <w:keepNext/>
        <w:keepLines/>
        <w:numPr>
          <w:ilvl w:val="0"/>
          <w:numId w:val="6"/>
        </w:numPr>
        <w:adjustRightInd w:val="0"/>
        <w:spacing w:before="120" w:beforeLines="50" w:after="120"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投标文件的递交</w:t>
      </w:r>
    </w:p>
    <w:p>
      <w:pPr>
        <w:keepNext/>
        <w:keepLines/>
        <w:adjustRightInd w:val="0"/>
        <w:spacing w:before="120" w:beforeLines="50" w:after="120" w:afterLines="50"/>
        <w:textAlignment w:val="baseline"/>
        <w:outlineLvl w:val="1"/>
        <w:rPr>
          <w:rFonts w:ascii="Arial" w:hAnsi="Arial" w:eastAsia="黑体"/>
          <w:b/>
          <w:bCs/>
          <w:sz w:val="28"/>
          <w:szCs w:val="28"/>
        </w:rPr>
      </w:pPr>
    </w:p>
    <w:p>
      <w:pPr>
        <w:spacing w:line="360" w:lineRule="auto"/>
        <w:rPr>
          <w:rFonts w:ascii="黑体" w:hAnsi="宋体" w:eastAsia="黑体"/>
          <w:sz w:val="24"/>
        </w:rPr>
      </w:pPr>
      <w:r>
        <w:rPr>
          <w:rFonts w:hint="eastAsia" w:ascii="黑体" w:hAnsi="宋体" w:eastAsia="黑体"/>
          <w:sz w:val="24"/>
        </w:rPr>
        <w:t>24．投标书的保密</w:t>
      </w:r>
    </w:p>
    <w:p>
      <w:pPr>
        <w:ind w:firstLine="411" w:firstLineChars="196"/>
        <w:rPr>
          <w:rFonts w:ascii="宋体" w:hAnsi="宋体"/>
        </w:rPr>
      </w:pPr>
      <w:r>
        <w:rPr>
          <w:rFonts w:hint="eastAsia" w:ascii="宋体" w:hAnsi="宋体"/>
        </w:rPr>
        <w:t>24.1在投标文件制作完成后，所有文件必须密封完整且加盖公章。</w:t>
      </w:r>
    </w:p>
    <w:p>
      <w:pPr>
        <w:ind w:firstLine="411" w:firstLineChars="196"/>
        <w:rPr>
          <w:rFonts w:ascii="宋体" w:hAnsi="宋体"/>
        </w:rPr>
      </w:pPr>
      <w:r>
        <w:rPr>
          <w:rFonts w:ascii="宋体" w:hAnsi="宋体"/>
        </w:rPr>
        <w:t xml:space="preserve">24.2 </w:t>
      </w:r>
      <w:r>
        <w:rPr>
          <w:rFonts w:hint="eastAsia" w:ascii="宋体" w:hAnsi="宋体"/>
        </w:rPr>
        <w:t>所有投标文件应在其密封封面上注明项目名称、项目编号、投标人名称。</w:t>
      </w:r>
    </w:p>
    <w:p>
      <w:pPr>
        <w:spacing w:line="360" w:lineRule="auto"/>
        <w:rPr>
          <w:rFonts w:ascii="黑体" w:hAnsi="宋体" w:eastAsia="黑体"/>
          <w:sz w:val="24"/>
        </w:rPr>
      </w:pPr>
      <w:r>
        <w:rPr>
          <w:rFonts w:hint="eastAsia" w:ascii="黑体" w:hAnsi="宋体" w:eastAsia="黑体"/>
          <w:sz w:val="24"/>
        </w:rPr>
        <w:t>25．投标截止时间</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1投标人</w:t>
      </w:r>
      <w:r>
        <w:rPr>
          <w:rFonts w:ascii="宋体" w:hAnsi="宋体"/>
        </w:rPr>
        <w:t>必须</w:t>
      </w:r>
      <w:r>
        <w:rPr>
          <w:rFonts w:hint="eastAsia" w:ascii="宋体" w:hAnsi="宋体"/>
        </w:rPr>
        <w:t>在</w:t>
      </w:r>
      <w:r>
        <w:rPr>
          <w:rFonts w:ascii="宋体" w:hAnsi="宋体"/>
        </w:rPr>
        <w:t>采购文件规定的投标截止时间前</w:t>
      </w:r>
      <w:r>
        <w:rPr>
          <w:rFonts w:hint="eastAsia" w:ascii="宋体" w:hAnsi="宋体"/>
        </w:rPr>
        <w:t>将</w:t>
      </w:r>
      <w:r>
        <w:rPr>
          <w:rFonts w:ascii="宋体" w:hAnsi="宋体"/>
        </w:rPr>
        <w:t>密封的投标文件递交到项目指定的地点</w:t>
      </w:r>
      <w:r>
        <w:rPr>
          <w:rFonts w:hint="eastAsia" w:ascii="宋体" w:hAnsi="宋体"/>
        </w:rPr>
        <w:t>。</w:t>
      </w:r>
    </w:p>
    <w:p>
      <w:pPr>
        <w:ind w:firstLine="411" w:firstLineChars="196"/>
        <w:rPr>
          <w:rFonts w:ascii="宋体" w:hAnsi="宋体"/>
        </w:rPr>
      </w:pPr>
      <w:r>
        <w:rPr>
          <w:rFonts w:hint="eastAsia" w:ascii="宋体" w:hAnsi="宋体"/>
        </w:rPr>
        <w:t>25.2医院采购机构可以按本通用条款第13条规定，通过修改招标文件自行决定酌情延长投标截止期。在此情况下，医院</w:t>
      </w:r>
      <w:r>
        <w:rPr>
          <w:rFonts w:ascii="宋体" w:hAnsi="宋体"/>
        </w:rPr>
        <w:t>采购机构</w:t>
      </w:r>
      <w:r>
        <w:rPr>
          <w:rFonts w:hint="eastAsia" w:ascii="宋体" w:hAnsi="宋体"/>
        </w:rPr>
        <w:t>、采购人和投标人受投标截止期制约的所有权利和义务均应延长至新的截止期。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3医院采购机构不接受投标截止时间后递交的投标文件。</w:t>
      </w:r>
    </w:p>
    <w:p>
      <w:pPr>
        <w:spacing w:line="360" w:lineRule="auto"/>
        <w:rPr>
          <w:rFonts w:ascii="黑体" w:hAnsi="宋体" w:eastAsia="黑体"/>
          <w:sz w:val="24"/>
        </w:rPr>
      </w:pPr>
      <w:r>
        <w:rPr>
          <w:rFonts w:hint="eastAsia" w:ascii="黑体" w:hAnsi="宋体" w:eastAsia="黑体"/>
          <w:sz w:val="24"/>
        </w:rPr>
        <w:t>26.样品的递交</w:t>
      </w:r>
    </w:p>
    <w:p>
      <w:pPr>
        <w:ind w:firstLine="420"/>
        <w:rPr>
          <w:rFonts w:ascii="宋体" w:hAnsi="宋体"/>
          <w:szCs w:val="21"/>
        </w:rPr>
      </w:pPr>
      <w:r>
        <w:rPr>
          <w:rFonts w:hint="eastAsia" w:ascii="宋体" w:hAnsi="宋体"/>
          <w:szCs w:val="21"/>
        </w:rPr>
        <w:t>26.1 如确有必要，采购人可以要求投标人提供样品。</w:t>
      </w:r>
    </w:p>
    <w:p>
      <w:pPr>
        <w:ind w:firstLine="420"/>
        <w:rPr>
          <w:rFonts w:ascii="宋体" w:hAnsi="宋体"/>
          <w:szCs w:val="21"/>
        </w:rPr>
      </w:pPr>
      <w:r>
        <w:rPr>
          <w:rFonts w:hint="eastAsia" w:ascii="宋体" w:hAnsi="宋体"/>
          <w:szCs w:val="21"/>
        </w:rPr>
        <w:t>26.2 未中标供应商的样品将于招标结束后退还。中标供应商的样品由采购人保留，作为验收的依据。</w:t>
      </w:r>
    </w:p>
    <w:p>
      <w:pPr>
        <w:ind w:firstLine="420"/>
        <w:rPr>
          <w:rFonts w:ascii="宋体" w:hAnsi="宋体"/>
          <w:szCs w:val="21"/>
        </w:rPr>
      </w:pPr>
      <w:r>
        <w:rPr>
          <w:rFonts w:hint="eastAsia" w:ascii="宋体" w:hAnsi="宋体"/>
          <w:szCs w:val="21"/>
        </w:rPr>
        <w:t>26.</w:t>
      </w:r>
      <w:r>
        <w:rPr>
          <w:rFonts w:ascii="宋体" w:hAnsi="宋体"/>
          <w:szCs w:val="21"/>
        </w:rPr>
        <w:t>3</w:t>
      </w:r>
      <w:r>
        <w:rPr>
          <w:rFonts w:hint="eastAsia" w:ascii="宋体" w:hAnsi="宋体"/>
          <w:szCs w:val="21"/>
        </w:rPr>
        <w:t>投标样品未能及时退回的，医院采购机构工作人员将及时存放到样品室，并发函或电话敦促相关单位取回。经敦促仍未能按规定取回的，视同投标供应商或采购人放弃取回，医院采购机构将定期清理。</w:t>
      </w:r>
    </w:p>
    <w:p>
      <w:pPr>
        <w:spacing w:line="360" w:lineRule="auto"/>
        <w:rPr>
          <w:rFonts w:ascii="黑体" w:hAnsi="宋体" w:eastAsia="黑体"/>
          <w:sz w:val="24"/>
        </w:rPr>
      </w:pPr>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w:t>
      </w:r>
      <w:r>
        <w:rPr>
          <w:rFonts w:hint="eastAsia" w:ascii="宋体" w:hAnsi="宋体"/>
        </w:rPr>
        <w:t>提交投标文件后</w:t>
      </w:r>
      <w:r>
        <w:rPr>
          <w:rFonts w:ascii="宋体" w:hAnsi="宋体"/>
        </w:rPr>
        <w:t>可对其投标文件进行修改</w:t>
      </w:r>
      <w:r>
        <w:rPr>
          <w:rFonts w:hint="eastAsia" w:ascii="宋体" w:hAnsi="宋体"/>
        </w:rPr>
        <w:t>或</w:t>
      </w:r>
      <w:r>
        <w:rPr>
          <w:rFonts w:ascii="宋体" w:hAnsi="宋体"/>
        </w:rPr>
        <w:t>撤</w:t>
      </w:r>
      <w:r>
        <w:rPr>
          <w:rFonts w:hint="eastAsia" w:ascii="宋体" w:hAnsi="宋体"/>
        </w:rPr>
        <w:t>回</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3从投标截止期至投标人在投标书中确定的投标有效期之间的这段时间内，投标人不得撤回其投标</w:t>
      </w:r>
      <w:r>
        <w:rPr>
          <w:rFonts w:ascii="宋体" w:hAnsi="宋体"/>
        </w:rPr>
        <w:t>。</w:t>
      </w:r>
    </w:p>
    <w:p>
      <w:pPr>
        <w:ind w:firstLine="411" w:firstLineChars="196"/>
        <w:rPr>
          <w:rFonts w:ascii="宋体" w:hAnsi="宋体"/>
          <w:szCs w:val="21"/>
        </w:rPr>
      </w:pPr>
      <w:r>
        <w:rPr>
          <w:rFonts w:hint="eastAsia" w:ascii="宋体" w:hAnsi="宋体"/>
          <w:szCs w:val="21"/>
        </w:rPr>
        <w:t>27.4医院采购机构不退还投标文件，专用</w:t>
      </w:r>
      <w:r>
        <w:rPr>
          <w:rFonts w:ascii="宋体" w:hAnsi="宋体"/>
          <w:szCs w:val="21"/>
        </w:rPr>
        <w:t>条款</w:t>
      </w:r>
      <w:r>
        <w:rPr>
          <w:rFonts w:hint="eastAsia" w:ascii="宋体" w:hAnsi="宋体"/>
          <w:szCs w:val="21"/>
        </w:rPr>
        <w:t>另有规定的除外。</w:t>
      </w:r>
    </w:p>
    <w:p>
      <w:pPr>
        <w:ind w:firstLine="411" w:firstLineChars="196"/>
        <w:rPr>
          <w:rFonts w:ascii="宋体" w:hAnsi="宋体"/>
          <w:szCs w:val="21"/>
        </w:rPr>
      </w:pPr>
    </w:p>
    <w:p>
      <w:pPr>
        <w:keepNext/>
        <w:keepLines/>
        <w:numPr>
          <w:ilvl w:val="0"/>
          <w:numId w:val="6"/>
        </w:numPr>
        <w:adjustRightInd w:val="0"/>
        <w:spacing w:before="120" w:beforeLines="50" w:after="120"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开标</w:t>
      </w:r>
    </w:p>
    <w:p>
      <w:pPr>
        <w:keepNext/>
        <w:keepLines/>
        <w:adjustRightInd w:val="0"/>
        <w:spacing w:before="120" w:beforeLines="50" w:after="120" w:afterLines="50"/>
        <w:textAlignment w:val="baseline"/>
        <w:outlineLvl w:val="1"/>
        <w:rPr>
          <w:rFonts w:ascii="Arial" w:hAnsi="Arial" w:eastAsia="黑体"/>
          <w:b/>
          <w:bCs/>
          <w:sz w:val="28"/>
          <w:szCs w:val="28"/>
        </w:rPr>
      </w:pPr>
    </w:p>
    <w:p>
      <w:pPr>
        <w:spacing w:line="360" w:lineRule="auto"/>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1医院</w:t>
      </w:r>
      <w:r>
        <w:rPr>
          <w:rFonts w:ascii="宋体" w:hAnsi="宋体"/>
          <w:szCs w:val="21"/>
        </w:rPr>
        <w:t>采购机构</w:t>
      </w:r>
      <w:r>
        <w:rPr>
          <w:rFonts w:hint="eastAsia" w:ascii="宋体" w:hAnsi="宋体"/>
          <w:szCs w:val="21"/>
        </w:rPr>
        <w:t>将在投标截止时间后，对密封</w:t>
      </w:r>
      <w:r>
        <w:rPr>
          <w:rFonts w:ascii="宋体" w:hAnsi="宋体"/>
          <w:szCs w:val="21"/>
        </w:rPr>
        <w:t>的</w:t>
      </w:r>
      <w:r>
        <w:rPr>
          <w:rFonts w:hint="eastAsia" w:ascii="宋体" w:hAnsi="宋体"/>
          <w:szCs w:val="21"/>
        </w:rPr>
        <w:t>投标文件进行拆封，开标，并</w:t>
      </w:r>
      <w:r>
        <w:rPr>
          <w:rFonts w:ascii="宋体" w:hAnsi="宋体"/>
          <w:szCs w:val="21"/>
        </w:rPr>
        <w:t>在开标现场公布开标结果</w:t>
      </w:r>
      <w:r>
        <w:rPr>
          <w:rFonts w:hint="eastAsia" w:ascii="宋体" w:hAnsi="宋体"/>
          <w:szCs w:val="21"/>
        </w:rPr>
        <w:t>。</w:t>
      </w:r>
    </w:p>
    <w:p>
      <w:pPr>
        <w:ind w:firstLine="359" w:firstLineChars="171"/>
        <w:rPr>
          <w:rFonts w:ascii="宋体" w:hAnsi="宋体"/>
          <w:szCs w:val="21"/>
        </w:rPr>
      </w:pPr>
    </w:p>
    <w:p>
      <w:pPr>
        <w:keepNext/>
        <w:keepLines/>
        <w:numPr>
          <w:ilvl w:val="0"/>
          <w:numId w:val="6"/>
        </w:numPr>
        <w:adjustRightInd w:val="0"/>
        <w:spacing w:before="120" w:beforeLines="50" w:after="120"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评标要求</w:t>
      </w:r>
    </w:p>
    <w:p>
      <w:pPr>
        <w:keepNext/>
        <w:keepLines/>
        <w:adjustRightInd w:val="0"/>
        <w:spacing w:before="120" w:beforeLines="50" w:after="120" w:afterLines="50"/>
        <w:textAlignment w:val="baseline"/>
        <w:outlineLvl w:val="1"/>
        <w:rPr>
          <w:rFonts w:ascii="Arial" w:hAnsi="Arial" w:eastAsia="黑体"/>
          <w:b/>
          <w:bCs/>
          <w:sz w:val="28"/>
          <w:szCs w:val="28"/>
        </w:rPr>
      </w:pPr>
    </w:p>
    <w:p>
      <w:pPr>
        <w:spacing w:line="360" w:lineRule="auto"/>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29.1开标结束后召开评标会议，评审委员会由医院采购机构依法组建，负责评标活动。</w:t>
      </w:r>
    </w:p>
    <w:p>
      <w:pPr>
        <w:ind w:firstLine="420"/>
        <w:rPr>
          <w:rFonts w:ascii="宋体" w:hAnsi="宋体"/>
        </w:rPr>
      </w:pPr>
      <w:r>
        <w:rPr>
          <w:rFonts w:hint="eastAsia" w:ascii="宋体" w:hAnsi="宋体"/>
        </w:rPr>
        <w:t>评标委员会由采购人代表和评审专家组成，成员人数为</w:t>
      </w:r>
      <w:r>
        <w:rPr>
          <w:rFonts w:ascii="宋体" w:hAnsi="宋体"/>
        </w:rPr>
        <w:t>5</w:t>
      </w:r>
      <w:r>
        <w:rPr>
          <w:rFonts w:hint="eastAsia" w:ascii="宋体" w:hAnsi="宋体"/>
        </w:rPr>
        <w:t>人以上（含</w:t>
      </w:r>
      <w:r>
        <w:rPr>
          <w:rFonts w:ascii="宋体" w:hAnsi="宋体"/>
        </w:rPr>
        <w:t>5</w:t>
      </w:r>
      <w:r>
        <w:rPr>
          <w:rFonts w:hint="eastAsia" w:ascii="宋体" w:hAnsi="宋体"/>
        </w:rPr>
        <w:t>人）单数，其中评审专家不少于成员总数的三分之二。</w:t>
      </w:r>
    </w:p>
    <w:p>
      <w:pPr>
        <w:ind w:firstLine="411" w:firstLineChars="196"/>
        <w:rPr>
          <w:rFonts w:ascii="宋体" w:hAnsi="宋体"/>
        </w:rPr>
      </w:pPr>
      <w:r>
        <w:rPr>
          <w:rFonts w:hint="eastAsia" w:ascii="宋体" w:hAnsi="宋体"/>
        </w:rPr>
        <w:t>为保证评委人选的专业性，以及评标中的公平公正性，评标委员会成员从深圳大学总医院评标专家库中随机抽取。</w:t>
      </w:r>
    </w:p>
    <w:p>
      <w:pPr>
        <w:ind w:firstLine="411" w:firstLineChars="196"/>
        <w:rPr>
          <w:rFonts w:ascii="宋体" w:hAnsi="宋体"/>
        </w:rPr>
      </w:pPr>
      <w:r>
        <w:rPr>
          <w:rFonts w:hint="eastAsia" w:ascii="宋体" w:hAnsi="宋体"/>
        </w:rPr>
        <w:t>29.2评标定标应当遵循公平、公正、科学、择优的原则。</w:t>
      </w:r>
    </w:p>
    <w:p>
      <w:pPr>
        <w:ind w:firstLine="411" w:firstLineChars="196"/>
        <w:rPr>
          <w:rFonts w:ascii="宋体" w:hAnsi="宋体"/>
        </w:rPr>
      </w:pPr>
      <w:r>
        <w:rPr>
          <w:rFonts w:hint="eastAsia" w:ascii="宋体" w:hAnsi="宋体"/>
        </w:rPr>
        <w:t>29.3评标活动依法进行，任何单位和个人不得非法干预评标过程和结果。</w:t>
      </w:r>
    </w:p>
    <w:p>
      <w:pPr>
        <w:ind w:firstLine="411" w:firstLineChars="196"/>
        <w:rPr>
          <w:rFonts w:ascii="宋体" w:hAnsi="宋体"/>
        </w:rPr>
      </w:pPr>
      <w:r>
        <w:rPr>
          <w:rFonts w:hint="eastAsia" w:ascii="宋体" w:hAnsi="宋体"/>
        </w:rPr>
        <w:t>29.4评标过程中不允许违背评标程序或采用招标文件未载明的评标方法或评标因素进行评标。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开标后，直到签订合同为止，凡属于对投标文件的审查、澄清、评价和比较的有关资料以及中标候选人的推荐情况、与评标有关的其他任何情况均严格保密（信息</w:t>
      </w:r>
      <w:r>
        <w:rPr>
          <w:rFonts w:ascii="宋体" w:hAnsi="宋体"/>
          <w:bCs/>
        </w:rPr>
        <w:t>公开的内容除外</w:t>
      </w:r>
      <w:r>
        <w:rPr>
          <w:rFonts w:hint="eastAsia" w:ascii="宋体" w:hAnsi="宋体"/>
          <w:bCs/>
        </w:rPr>
        <w:t>）。</w:t>
      </w:r>
    </w:p>
    <w:p>
      <w:pPr>
        <w:spacing w:line="360" w:lineRule="auto"/>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30.3评审委员会应当认真研究招标文件，至少应了解熟悉以下内容：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spacing w:line="360" w:lineRule="auto"/>
        <w:rPr>
          <w:rFonts w:ascii="黑体" w:hAnsi="宋体" w:eastAsia="黑体"/>
          <w:sz w:val="24"/>
        </w:rPr>
      </w:pPr>
      <w:r>
        <w:rPr>
          <w:rFonts w:hint="eastAsia" w:ascii="黑体" w:hAnsi="宋体" w:eastAsia="黑体"/>
          <w:sz w:val="24"/>
        </w:rPr>
        <w:t>31．独立评标</w:t>
      </w:r>
    </w:p>
    <w:p>
      <w:pPr>
        <w:ind w:firstLine="411" w:firstLineChars="196"/>
        <w:rPr>
          <w:rFonts w:ascii="宋体" w:hAnsi="宋体"/>
          <w:bCs/>
        </w:rPr>
      </w:pPr>
      <w:r>
        <w:rPr>
          <w:rFonts w:hint="eastAsia" w:ascii="宋体" w:hAnsi="宋体"/>
          <w:bCs/>
        </w:rPr>
        <w:t>30.1评审委员会成员的评标活动应当独立进行，并应遵循投标文件初审、澄清有关问题、比较与评价、确定中标供应商、编写评标报告的工作程序。</w:t>
      </w:r>
    </w:p>
    <w:p>
      <w:pPr>
        <w:ind w:firstLine="411" w:firstLineChars="196"/>
        <w:rPr>
          <w:rFonts w:ascii="宋体" w:hAnsi="宋体"/>
          <w:bCs/>
        </w:rPr>
      </w:pPr>
    </w:p>
    <w:p>
      <w:pPr>
        <w:keepNext/>
        <w:keepLines/>
        <w:numPr>
          <w:ilvl w:val="0"/>
          <w:numId w:val="6"/>
        </w:numPr>
        <w:adjustRightInd w:val="0"/>
        <w:spacing w:before="120" w:beforeLines="50" w:after="120"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评标程序及评标方法</w:t>
      </w:r>
    </w:p>
    <w:p>
      <w:pPr>
        <w:keepNext/>
        <w:keepLines/>
        <w:adjustRightInd w:val="0"/>
        <w:spacing w:before="120" w:beforeLines="50" w:after="120" w:afterLines="50"/>
        <w:textAlignment w:val="baseline"/>
        <w:outlineLvl w:val="1"/>
        <w:rPr>
          <w:rFonts w:ascii="Arial" w:hAnsi="Arial" w:eastAsia="黑体"/>
          <w:b/>
          <w:bCs/>
          <w:sz w:val="28"/>
          <w:szCs w:val="28"/>
        </w:rPr>
      </w:pPr>
    </w:p>
    <w:p>
      <w:pPr>
        <w:spacing w:line="360" w:lineRule="auto"/>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进行审查，以确定是否满足</w:t>
      </w:r>
      <w:r>
        <w:rPr>
          <w:rFonts w:ascii="宋体" w:hAnsi="宋体"/>
        </w:rPr>
        <w:t>符合性审查</w:t>
      </w:r>
      <w:r>
        <w:rPr>
          <w:rFonts w:hint="eastAsia" w:ascii="宋体" w:hAnsi="宋体"/>
        </w:rPr>
        <w:t>的要求。</w:t>
      </w:r>
    </w:p>
    <w:p>
      <w:pPr>
        <w:ind w:firstLine="411" w:firstLineChars="196"/>
        <w:rPr>
          <w:rFonts w:ascii="宋体" w:hAnsi="宋体"/>
        </w:rPr>
      </w:pPr>
      <w:r>
        <w:rPr>
          <w:rFonts w:hint="eastAsia" w:ascii="宋体" w:hAnsi="宋体"/>
        </w:rPr>
        <w:t>32.2投标文件初审内容请详见《资格性审查表》和《符合性审查表》部分。投标人若有一条审查不通过则按投标无效处理。评审委员会对投标单位打√为通过审查，打×为未通过审查。</w:t>
      </w:r>
    </w:p>
    <w:p>
      <w:pPr>
        <w:ind w:firstLine="411" w:firstLineChars="196"/>
        <w:rPr>
          <w:rFonts w:ascii="宋体" w:hAnsi="宋体"/>
        </w:rPr>
      </w:pPr>
      <w:r>
        <w:rPr>
          <w:rFonts w:hint="eastAsia" w:ascii="宋体" w:hAnsi="宋体"/>
        </w:rPr>
        <w:t>32.3 投标文件初审中关于供应商家数的计算:</w:t>
      </w:r>
    </w:p>
    <w:p>
      <w:pPr>
        <w:ind w:firstLine="411" w:firstLineChars="196"/>
        <w:rPr>
          <w:rFonts w:ascii="宋体" w:hAnsi="宋体"/>
        </w:rPr>
      </w:pPr>
      <w:r>
        <w:rPr>
          <w:rFonts w:hint="eastAsia" w:ascii="宋体" w:hAnsi="宋体"/>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pPr>
        <w:ind w:firstLine="411" w:firstLineChars="196"/>
        <w:rPr>
          <w:rFonts w:ascii="宋体" w:hAnsi="宋体"/>
        </w:rPr>
      </w:pPr>
      <w:r>
        <w:rPr>
          <w:rFonts w:hint="eastAsia" w:ascii="宋体" w:hAnsi="宋体"/>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ind w:firstLine="411" w:firstLineChars="196"/>
        <w:rPr>
          <w:rFonts w:ascii="宋体" w:hAnsi="宋体"/>
        </w:rPr>
      </w:pPr>
      <w:r>
        <w:rPr>
          <w:rFonts w:hint="eastAsia" w:ascii="宋体" w:hAnsi="宋体"/>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ascii="宋体" w:hAnsi="宋体"/>
        </w:rPr>
        <w:t>32.4</w:t>
      </w:r>
      <w:r>
        <w:rPr>
          <w:rFonts w:hint="eastAsia" w:ascii="宋体" w:hAnsi="宋体"/>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11" w:firstLineChars="196"/>
        <w:rPr>
          <w:rFonts w:ascii="宋体" w:hAnsi="宋体"/>
        </w:rPr>
      </w:pPr>
      <w:r>
        <w:rPr>
          <w:rFonts w:hint="eastAsia" w:ascii="宋体" w:hAnsi="宋体"/>
        </w:rPr>
        <w:t>32.</w:t>
      </w:r>
      <w:r>
        <w:rPr>
          <w:rFonts w:ascii="宋体" w:hAnsi="宋体"/>
        </w:rPr>
        <w:t>5</w:t>
      </w:r>
      <w:r>
        <w:rPr>
          <w:rFonts w:hint="eastAsia" w:ascii="宋体" w:hAnsi="宋体"/>
        </w:rPr>
        <w:t>投标人投标文件作无效处理的情形，具体包括但不限于以下：</w:t>
      </w:r>
    </w:p>
    <w:p>
      <w:pPr>
        <w:ind w:firstLine="411" w:firstLineChars="196"/>
        <w:rPr>
          <w:rFonts w:ascii="宋体" w:hAnsi="宋体"/>
        </w:rPr>
      </w:pPr>
      <w:r>
        <w:rPr>
          <w:rFonts w:hint="eastAsia" w:ascii="宋体" w:hAnsi="宋体"/>
        </w:rPr>
        <w:t>32.5.1不同投标人的投标文件由同一单位或者同一个人编制，或者由同一个人分阶段参与编制；</w:t>
      </w:r>
    </w:p>
    <w:p>
      <w:pPr>
        <w:ind w:firstLine="411" w:firstLineChars="196"/>
        <w:rPr>
          <w:rFonts w:ascii="宋体" w:hAnsi="宋体"/>
        </w:rPr>
      </w:pPr>
      <w:r>
        <w:rPr>
          <w:rFonts w:hint="eastAsia" w:ascii="宋体" w:hAnsi="宋体"/>
        </w:rPr>
        <w:t>32.5.2不同投标人委托同一单位或者个人办理投标事宜；</w:t>
      </w:r>
    </w:p>
    <w:p>
      <w:pPr>
        <w:ind w:firstLine="411" w:firstLineChars="196"/>
        <w:rPr>
          <w:rFonts w:ascii="宋体" w:hAnsi="宋体"/>
        </w:rPr>
      </w:pPr>
      <w:r>
        <w:rPr>
          <w:rFonts w:hint="eastAsia" w:ascii="宋体" w:hAnsi="宋体"/>
        </w:rPr>
        <w:t>32.5.3不同投标人的投标文件载明的项目管理成员或者联系人员为同一人；</w:t>
      </w:r>
    </w:p>
    <w:p>
      <w:pPr>
        <w:ind w:firstLine="411" w:firstLineChars="196"/>
        <w:rPr>
          <w:rFonts w:ascii="宋体" w:hAnsi="宋体"/>
        </w:rPr>
      </w:pPr>
      <w:r>
        <w:rPr>
          <w:rFonts w:hint="eastAsia" w:ascii="宋体" w:hAnsi="宋体"/>
        </w:rPr>
        <w:t>32.5.4不同投标人的投标文件异常一致或者投标报价呈规律性差异；</w:t>
      </w:r>
    </w:p>
    <w:p>
      <w:pPr>
        <w:ind w:firstLine="411" w:firstLineChars="196"/>
        <w:rPr>
          <w:rFonts w:ascii="宋体" w:hAnsi="宋体"/>
        </w:rPr>
      </w:pPr>
      <w:r>
        <w:rPr>
          <w:rFonts w:hint="eastAsia" w:ascii="宋体" w:hAnsi="宋体"/>
        </w:rPr>
        <w:t>32.5.5不同投标人的投标文件或</w:t>
      </w:r>
      <w:r>
        <w:rPr>
          <w:rFonts w:ascii="宋体" w:hAnsi="宋体"/>
        </w:rPr>
        <w:t>部分投标文件</w:t>
      </w:r>
      <w:r>
        <w:rPr>
          <w:rFonts w:hint="eastAsia" w:ascii="宋体" w:hAnsi="宋体"/>
        </w:rPr>
        <w:t>相互混装；</w:t>
      </w:r>
    </w:p>
    <w:p>
      <w:pPr>
        <w:ind w:firstLine="411" w:firstLineChars="196"/>
        <w:rPr>
          <w:rFonts w:ascii="宋体" w:hAnsi="宋体"/>
        </w:rPr>
      </w:pPr>
      <w:r>
        <w:rPr>
          <w:rFonts w:hint="eastAsia" w:ascii="宋体" w:hAnsi="宋体"/>
        </w:rPr>
        <w:t>32.5.6投标</w:t>
      </w:r>
      <w:r>
        <w:rPr>
          <w:rFonts w:ascii="宋体" w:hAnsi="宋体"/>
        </w:rPr>
        <w:t>供应商之间相互约定给</w:t>
      </w:r>
      <w:r>
        <w:rPr>
          <w:rFonts w:hint="eastAsia" w:ascii="宋体" w:hAnsi="宋体"/>
        </w:rPr>
        <w:t>予</w:t>
      </w:r>
      <w:r>
        <w:rPr>
          <w:rFonts w:ascii="宋体" w:hAnsi="宋体"/>
        </w:rPr>
        <w:t>未中标的供应商利益补偿</w:t>
      </w:r>
      <w:r>
        <w:rPr>
          <w:rFonts w:hint="eastAsia" w:ascii="宋体" w:hAnsi="宋体"/>
        </w:rPr>
        <w:t>；</w:t>
      </w:r>
    </w:p>
    <w:p>
      <w:pPr>
        <w:ind w:firstLine="411" w:firstLineChars="196"/>
        <w:rPr>
          <w:rFonts w:ascii="宋体" w:hAnsi="宋体"/>
        </w:rPr>
      </w:pPr>
      <w:r>
        <w:rPr>
          <w:rFonts w:hint="eastAsia" w:ascii="宋体" w:hAnsi="宋体"/>
        </w:rPr>
        <w:t>32.5.</w:t>
      </w:r>
      <w:r>
        <w:rPr>
          <w:rFonts w:ascii="宋体" w:hAnsi="宋体"/>
        </w:rPr>
        <w:t>7</w:t>
      </w:r>
      <w:r>
        <w:rPr>
          <w:rFonts w:hint="eastAsia" w:ascii="宋体" w:hAnsi="宋体"/>
        </w:rPr>
        <w:t>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32.5.</w:t>
      </w:r>
      <w:r>
        <w:rPr>
          <w:rFonts w:ascii="宋体" w:hAnsi="宋体"/>
        </w:rPr>
        <w:t>8</w:t>
      </w:r>
      <w:r>
        <w:rPr>
          <w:rFonts w:hint="eastAsia" w:ascii="宋体" w:hAnsi="宋体"/>
        </w:rPr>
        <w:t>不同投标供应商的投标文件内容存在非正常一致；</w:t>
      </w:r>
    </w:p>
    <w:p>
      <w:pPr>
        <w:ind w:firstLine="411" w:firstLineChars="196"/>
        <w:rPr>
          <w:rFonts w:ascii="宋体" w:hAnsi="宋体"/>
        </w:rPr>
      </w:pPr>
      <w:r>
        <w:rPr>
          <w:rFonts w:hint="eastAsia" w:ascii="宋体" w:hAnsi="宋体"/>
        </w:rPr>
        <w:t>32.5.</w:t>
      </w:r>
      <w:r>
        <w:rPr>
          <w:rFonts w:ascii="宋体" w:hAnsi="宋体"/>
        </w:rPr>
        <w:t>9</w:t>
      </w:r>
      <w:r>
        <w:rPr>
          <w:rFonts w:hint="eastAsia" w:ascii="宋体" w:hAnsi="宋体"/>
        </w:rPr>
        <w:t>在同一单位工作人员为两家以上（含两家）供应商进行同一项投标活动；</w:t>
      </w:r>
    </w:p>
    <w:p>
      <w:pPr>
        <w:ind w:firstLine="411" w:firstLineChars="196"/>
        <w:rPr>
          <w:rFonts w:ascii="宋体" w:hAnsi="宋体"/>
        </w:rPr>
      </w:pPr>
      <w:r>
        <w:rPr>
          <w:rFonts w:hint="eastAsia" w:ascii="宋体" w:hAnsi="宋体"/>
        </w:rPr>
        <w:t>32.5.1</w:t>
      </w:r>
      <w:r>
        <w:rPr>
          <w:rFonts w:ascii="宋体" w:hAnsi="宋体"/>
        </w:rPr>
        <w:t>0</w:t>
      </w:r>
      <w:r>
        <w:rPr>
          <w:rFonts w:hint="eastAsia" w:ascii="宋体" w:hAnsi="宋体"/>
        </w:rPr>
        <w:t>主管部门依照法律、法规认定的其他情形。</w:t>
      </w:r>
    </w:p>
    <w:p>
      <w:pPr>
        <w:ind w:firstLine="411" w:firstLineChars="196"/>
        <w:rPr>
          <w:rFonts w:ascii="宋体" w:hAnsi="宋体"/>
        </w:rPr>
      </w:pPr>
      <w:r>
        <w:rPr>
          <w:rFonts w:hint="eastAsia" w:ascii="宋体" w:hAnsi="宋体"/>
        </w:rPr>
        <w:t>32.6 对不属于《资格性审查表》和《符合性审查表》所列的其他情形，除专用条款另有规定和32.5条款所列情形外，不得作为投标无效的理由。</w:t>
      </w:r>
    </w:p>
    <w:p>
      <w:pPr>
        <w:spacing w:line="360" w:lineRule="auto"/>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szCs w:val="21"/>
        </w:rPr>
      </w:pPr>
      <w:r>
        <w:rPr>
          <w:rFonts w:hint="eastAsia" w:ascii="宋体" w:hAnsi="宋体"/>
          <w:szCs w:val="21"/>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szCs w:val="21"/>
        </w:rPr>
      </w:pPr>
      <w:r>
        <w:rPr>
          <w:rFonts w:hint="eastAsia" w:ascii="宋体" w:hAnsi="宋体"/>
          <w:szCs w:val="21"/>
        </w:rPr>
        <w:t>投标人的澄清、说明或者补正应当采用书面形式，并加盖公章，或者由法定代表人或其授权的代表签字。投标人的澄清、说明或者补正不得超出投标文件的范围或者改变投标文件的实质性内容。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spacing w:line="360" w:lineRule="auto"/>
        <w:rPr>
          <w:rFonts w:ascii="黑体" w:hAnsi="宋体" w:eastAsia="黑体"/>
          <w:sz w:val="24"/>
        </w:rPr>
      </w:pPr>
      <w:r>
        <w:rPr>
          <w:rFonts w:hint="eastAsia" w:ascii="黑体" w:hAnsi="宋体" w:eastAsia="黑体"/>
          <w:sz w:val="24"/>
        </w:rPr>
        <w:t>34．错误的修正</w:t>
      </w:r>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34.1投标文件中开标一览表内容与投标文件中相应内容不一致的，以开标一览表为准；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w:t>
      </w:r>
      <w:r>
        <w:rPr>
          <w:rFonts w:ascii="宋体" w:hAnsi="宋体"/>
          <w:szCs w:val="21"/>
        </w:rPr>
        <w:t>政府采购条例实施细则</w:t>
      </w:r>
      <w:r>
        <w:rPr>
          <w:rFonts w:hint="eastAsia" w:ascii="宋体" w:hAnsi="宋体"/>
          <w:szCs w:val="21"/>
        </w:rPr>
        <w:t>》及《深圳市政府采购评审委员会和评标方法暂行规定》，参照相关法律、法规、规定，仅对通过资格性审查和符合性审查的投标文件进行综合比较与评价。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评审委员会成员对需要共同认定的事项存在争议的，应当按照少数服从多数的原则作出结论。持不同意见的评审委员会成员应当在评标报告上签署不同意见及理由，否则视为同意评标报告。</w:t>
      </w:r>
    </w:p>
    <w:p>
      <w:pPr>
        <w:spacing w:line="360" w:lineRule="auto"/>
        <w:rPr>
          <w:rFonts w:ascii="黑体" w:hAnsi="宋体" w:eastAsia="黑体"/>
          <w:sz w:val="24"/>
        </w:rPr>
      </w:pPr>
      <w:r>
        <w:rPr>
          <w:rFonts w:hint="eastAsia" w:ascii="黑体" w:hAnsi="宋体" w:eastAsia="黑体"/>
          <w:sz w:val="24"/>
        </w:rPr>
        <w:t>36.实地考察、演示或设备测试</w:t>
      </w:r>
    </w:p>
    <w:p>
      <w:pPr>
        <w:ind w:firstLine="411" w:firstLineChars="196"/>
        <w:rPr>
          <w:rFonts w:ascii="宋体" w:hAnsi="宋体"/>
          <w:szCs w:val="21"/>
        </w:rPr>
      </w:pPr>
      <w:r>
        <w:rPr>
          <w:rFonts w:hint="eastAsia" w:ascii="宋体" w:hAnsi="宋体"/>
          <w:szCs w:val="21"/>
        </w:rPr>
        <w:t>36.1在招标过程中，评审委员会有权决定是否对本项目投标人进行现场勘察或实地考察或检验有关证明材料的原件。投标人应随时做好接受检查的准备。</w:t>
      </w:r>
    </w:p>
    <w:p>
      <w:pPr>
        <w:ind w:firstLine="411" w:firstLineChars="196"/>
        <w:rPr>
          <w:rFonts w:ascii="宋体" w:hAnsi="宋体"/>
          <w:szCs w:val="21"/>
        </w:rPr>
      </w:pPr>
      <w:r>
        <w:rPr>
          <w:rFonts w:hint="eastAsia" w:ascii="宋体" w:hAnsi="宋体"/>
          <w:szCs w:val="21"/>
        </w:rPr>
        <w:t>36.2若招标文件要求进行现场演示或设备测试的，投标人应做好相应准备。</w:t>
      </w:r>
    </w:p>
    <w:p>
      <w:pPr>
        <w:spacing w:line="360" w:lineRule="auto"/>
        <w:rPr>
          <w:rFonts w:ascii="黑体" w:hAnsi="宋体" w:eastAsia="黑体"/>
          <w:sz w:val="24"/>
        </w:rPr>
      </w:pPr>
      <w:r>
        <w:rPr>
          <w:rFonts w:hint="eastAsia" w:ascii="黑体" w:hAnsi="宋体" w:eastAsia="黑体"/>
          <w:sz w:val="24"/>
        </w:rPr>
        <w:t>37．评标方法</w:t>
      </w:r>
    </w:p>
    <w:p>
      <w:pPr>
        <w:ind w:firstLine="413" w:firstLineChars="196"/>
        <w:rPr>
          <w:rFonts w:ascii="宋体" w:hAnsi="宋体"/>
          <w:b/>
          <w:bCs/>
          <w:szCs w:val="21"/>
        </w:rPr>
      </w:pPr>
      <w:r>
        <w:rPr>
          <w:rFonts w:hint="eastAsia" w:ascii="宋体" w:hAnsi="宋体"/>
          <w:b/>
          <w:bCs/>
          <w:szCs w:val="21"/>
        </w:rPr>
        <w:t>37.1最低价法</w:t>
      </w:r>
    </w:p>
    <w:p>
      <w:pPr>
        <w:ind w:firstLine="411" w:firstLineChars="196"/>
        <w:rPr>
          <w:rFonts w:ascii="宋体" w:hAnsi="宋体"/>
          <w:bCs/>
          <w:szCs w:val="21"/>
        </w:rPr>
      </w:pPr>
      <w:r>
        <w:rPr>
          <w:rFonts w:hint="eastAsia" w:ascii="宋体" w:hAnsi="宋体"/>
          <w:bCs/>
          <w:szCs w:val="21"/>
        </w:rPr>
        <w:t>最低评标价法，是指投标文件满足招标文件全部实质性要求，且投标报价最低的投标人为中标候选人的评标方法。</w:t>
      </w:r>
    </w:p>
    <w:p>
      <w:pPr>
        <w:ind w:firstLine="413" w:firstLineChars="196"/>
        <w:rPr>
          <w:rFonts w:ascii="宋体" w:hAnsi="宋体"/>
          <w:b/>
          <w:bCs/>
          <w:szCs w:val="21"/>
        </w:rPr>
      </w:pPr>
      <w:r>
        <w:rPr>
          <w:rFonts w:hint="eastAsia" w:ascii="宋体" w:hAnsi="宋体"/>
          <w:b/>
          <w:bCs/>
          <w:szCs w:val="21"/>
        </w:rPr>
        <w:t>37.2综合评分法</w:t>
      </w:r>
    </w:p>
    <w:p>
      <w:pPr>
        <w:ind w:firstLine="411" w:firstLineChars="196"/>
        <w:rPr>
          <w:rFonts w:ascii="宋体" w:hAnsi="宋体"/>
          <w:bCs/>
          <w:szCs w:val="21"/>
        </w:rPr>
      </w:pPr>
      <w:r>
        <w:rPr>
          <w:rFonts w:hint="eastAsia" w:ascii="宋体" w:hAnsi="宋体"/>
          <w:bCs/>
          <w:szCs w:val="21"/>
        </w:rPr>
        <w:t>综合评分法，是指投标文件满足招标文件全部实质性要求，且按照评审因素的量化指标评审得分最高的投标人为中标候选人的评标方法。</w:t>
      </w:r>
    </w:p>
    <w:p>
      <w:pPr>
        <w:ind w:firstLine="413" w:firstLineChars="196"/>
        <w:rPr>
          <w:rFonts w:ascii="宋体" w:hAnsi="宋体"/>
          <w:b/>
          <w:bCs/>
          <w:szCs w:val="21"/>
        </w:rPr>
      </w:pPr>
      <w:r>
        <w:rPr>
          <w:rFonts w:hint="eastAsia" w:ascii="宋体" w:hAnsi="宋体"/>
          <w:b/>
          <w:bCs/>
          <w:szCs w:val="21"/>
        </w:rPr>
        <w:t>37.3定性评审法</w:t>
      </w:r>
    </w:p>
    <w:p>
      <w:pPr>
        <w:ind w:firstLine="411" w:firstLineChars="196"/>
        <w:rPr>
          <w:rFonts w:ascii="宋体" w:hAnsi="宋体"/>
          <w:bCs/>
          <w:szCs w:val="21"/>
        </w:rPr>
      </w:pPr>
      <w:r>
        <w:rPr>
          <w:rFonts w:hint="eastAsia" w:ascii="宋体" w:hAnsi="宋体"/>
          <w:bCs/>
          <w:szCs w:val="21"/>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投标无效的投标人，均推荐为候选中标供应商。</w:t>
      </w:r>
    </w:p>
    <w:p>
      <w:pPr>
        <w:ind w:firstLine="413" w:firstLineChars="196"/>
        <w:rPr>
          <w:rFonts w:ascii="宋体" w:hAnsi="宋体"/>
          <w:b/>
          <w:bCs/>
          <w:szCs w:val="21"/>
        </w:rPr>
      </w:pPr>
      <w:r>
        <w:rPr>
          <w:rFonts w:hint="eastAsia" w:ascii="宋体" w:hAnsi="宋体"/>
          <w:b/>
          <w:bCs/>
          <w:szCs w:val="21"/>
        </w:rPr>
        <w:t>37.</w:t>
      </w:r>
      <w:r>
        <w:rPr>
          <w:rFonts w:ascii="宋体" w:hAnsi="宋体"/>
          <w:b/>
          <w:bCs/>
          <w:szCs w:val="21"/>
        </w:rPr>
        <w:t>4</w:t>
      </w:r>
      <w:r>
        <w:rPr>
          <w:rFonts w:hint="eastAsia" w:ascii="宋体" w:hAnsi="宋体"/>
          <w:b/>
          <w:bCs/>
          <w:szCs w:val="21"/>
        </w:rPr>
        <w:t xml:space="preserve"> 本项目采用的评标方法见本项目招标文件第一册“专用条款”的相关内容。</w:t>
      </w:r>
    </w:p>
    <w:p>
      <w:pPr>
        <w:ind w:firstLine="413" w:firstLineChars="196"/>
        <w:rPr>
          <w:rFonts w:ascii="宋体" w:hAnsi="宋体"/>
          <w:b/>
          <w:bCs/>
          <w:szCs w:val="21"/>
        </w:rPr>
      </w:pPr>
      <w:r>
        <w:rPr>
          <w:rFonts w:hint="eastAsia" w:ascii="宋体" w:hAnsi="宋体"/>
          <w:b/>
          <w:bCs/>
          <w:szCs w:val="21"/>
        </w:rPr>
        <w:t>37.</w:t>
      </w:r>
      <w:r>
        <w:rPr>
          <w:rFonts w:ascii="宋体" w:hAnsi="宋体"/>
          <w:b/>
          <w:bCs/>
          <w:szCs w:val="21"/>
        </w:rPr>
        <w:t>5</w:t>
      </w:r>
      <w:r>
        <w:rPr>
          <w:rFonts w:hint="eastAsia" w:ascii="宋体" w:hAnsi="宋体"/>
          <w:b/>
          <w:bCs/>
          <w:szCs w:val="21"/>
        </w:rPr>
        <w:t>重新评审的情形</w:t>
      </w:r>
    </w:p>
    <w:p>
      <w:pPr>
        <w:ind w:firstLine="411" w:firstLineChars="196"/>
        <w:rPr>
          <w:rFonts w:ascii="宋体" w:hAnsi="宋体"/>
          <w:bCs/>
          <w:szCs w:val="21"/>
        </w:rPr>
      </w:pPr>
      <w:r>
        <w:rPr>
          <w:rFonts w:hint="eastAsia" w:ascii="宋体" w:hAnsi="宋体"/>
          <w:bCs/>
          <w:szCs w:val="21"/>
        </w:rPr>
        <w:t>评标结果汇总完成后，除下列情形外，任何人不得修改评标结果：</w:t>
      </w:r>
    </w:p>
    <w:p>
      <w:pPr>
        <w:ind w:firstLine="411" w:firstLineChars="196"/>
        <w:rPr>
          <w:rFonts w:ascii="宋体" w:hAnsi="宋体"/>
          <w:bCs/>
          <w:szCs w:val="21"/>
        </w:rPr>
      </w:pPr>
      <w:r>
        <w:rPr>
          <w:rFonts w:hint="eastAsia" w:ascii="宋体" w:hAnsi="宋体"/>
          <w:bCs/>
          <w:szCs w:val="21"/>
        </w:rPr>
        <w:t>（1）分值汇总计算错误的；</w:t>
      </w:r>
    </w:p>
    <w:p>
      <w:pPr>
        <w:ind w:firstLine="411" w:firstLineChars="196"/>
        <w:rPr>
          <w:rFonts w:ascii="宋体" w:hAnsi="宋体"/>
          <w:bCs/>
          <w:szCs w:val="21"/>
        </w:rPr>
      </w:pPr>
      <w:r>
        <w:rPr>
          <w:rFonts w:hint="eastAsia" w:ascii="宋体" w:hAnsi="宋体"/>
          <w:bCs/>
          <w:szCs w:val="21"/>
        </w:rPr>
        <w:t>（2）分项评分超出评分标准范围的；</w:t>
      </w:r>
    </w:p>
    <w:p>
      <w:pPr>
        <w:ind w:firstLine="411" w:firstLineChars="196"/>
        <w:rPr>
          <w:rFonts w:ascii="宋体" w:hAnsi="宋体"/>
          <w:bCs/>
          <w:szCs w:val="21"/>
        </w:rPr>
      </w:pPr>
      <w:r>
        <w:rPr>
          <w:rFonts w:hint="eastAsia" w:ascii="宋体" w:hAnsi="宋体"/>
          <w:bCs/>
          <w:szCs w:val="21"/>
        </w:rPr>
        <w:t>（3）评审委员会成员对客观评审因素评分不一致的；</w:t>
      </w:r>
    </w:p>
    <w:p>
      <w:pPr>
        <w:ind w:firstLine="411" w:firstLineChars="196"/>
        <w:rPr>
          <w:rFonts w:ascii="宋体" w:hAnsi="宋体"/>
          <w:bCs/>
          <w:szCs w:val="21"/>
        </w:rPr>
      </w:pPr>
      <w:r>
        <w:rPr>
          <w:rFonts w:hint="eastAsia" w:ascii="宋体" w:hAnsi="宋体"/>
          <w:bCs/>
          <w:szCs w:val="21"/>
        </w:rPr>
        <w:t>（4）经评审委员会认定评分畸高、畸低的。</w:t>
      </w:r>
    </w:p>
    <w:p>
      <w:pPr>
        <w:ind w:firstLine="411" w:firstLineChars="196"/>
        <w:rPr>
          <w:rFonts w:ascii="宋体" w:hAnsi="宋体"/>
          <w:bCs/>
          <w:szCs w:val="21"/>
        </w:rPr>
      </w:pPr>
      <w:r>
        <w:rPr>
          <w:rFonts w:hint="eastAsia" w:ascii="宋体" w:hAnsi="宋体"/>
          <w:bCs/>
          <w:szCs w:val="21"/>
        </w:rPr>
        <w:t>评标报告签署前，经复核发现存在以上情形之一的，评审委员会应当当场修改评标结果，并在评标报告中记载；评标报告签署后，采购人或者医院采购机构发现存在以上情形之一的，应当组织原评审委员会进行重新评审。</w:t>
      </w:r>
    </w:p>
    <w:p>
      <w:pPr>
        <w:ind w:firstLine="411" w:firstLineChars="196"/>
        <w:rPr>
          <w:rFonts w:ascii="宋体" w:hAnsi="宋体"/>
          <w:b/>
          <w:bCs/>
          <w:szCs w:val="21"/>
        </w:rPr>
      </w:pPr>
      <w:r>
        <w:rPr>
          <w:rFonts w:hint="eastAsia" w:ascii="宋体" w:hAnsi="宋体"/>
          <w:bCs/>
          <w:szCs w:val="21"/>
        </w:rPr>
        <w:t>投标人对本条第一款情形提出质疑的，采购人或者医院采购机构可以组织原评审委员会进行重新评审。</w:t>
      </w:r>
    </w:p>
    <w:p>
      <w:pPr>
        <w:ind w:firstLine="413" w:firstLineChars="196"/>
        <w:rPr>
          <w:rFonts w:ascii="宋体" w:hAnsi="宋体"/>
          <w:b/>
          <w:bCs/>
          <w:szCs w:val="21"/>
        </w:rPr>
      </w:pPr>
      <w:r>
        <w:rPr>
          <w:rFonts w:hint="eastAsia" w:ascii="宋体" w:hAnsi="宋体"/>
          <w:b/>
          <w:bCs/>
          <w:szCs w:val="21"/>
        </w:rPr>
        <w:t xml:space="preserve"> 37.</w:t>
      </w:r>
      <w:r>
        <w:rPr>
          <w:rFonts w:ascii="宋体" w:hAnsi="宋体"/>
          <w:b/>
          <w:bCs/>
          <w:szCs w:val="21"/>
        </w:rPr>
        <w:t>6</w:t>
      </w:r>
      <w:r>
        <w:rPr>
          <w:rFonts w:hint="eastAsia" w:ascii="宋体" w:hAnsi="宋体"/>
          <w:b/>
          <w:bCs/>
          <w:szCs w:val="21"/>
        </w:rPr>
        <w:t>重新组建评审委员会的情形</w:t>
      </w:r>
    </w:p>
    <w:p>
      <w:pPr>
        <w:ind w:firstLine="411" w:firstLineChars="196"/>
        <w:rPr>
          <w:rFonts w:ascii="宋体" w:hAnsi="宋体"/>
          <w:bCs/>
          <w:szCs w:val="21"/>
        </w:rPr>
      </w:pPr>
      <w:r>
        <w:rPr>
          <w:rFonts w:hint="eastAsia" w:ascii="宋体" w:hAnsi="宋体"/>
          <w:bCs/>
          <w:szCs w:val="21"/>
        </w:rPr>
        <w:t>评审委员会或者其成员存在下列情形导致评标结果无效的，重新组建评审委员会进行评标：</w:t>
      </w:r>
    </w:p>
    <w:p>
      <w:pPr>
        <w:ind w:firstLine="411" w:firstLineChars="196"/>
        <w:rPr>
          <w:rFonts w:ascii="宋体" w:hAnsi="宋体"/>
          <w:bCs/>
          <w:szCs w:val="21"/>
        </w:rPr>
      </w:pPr>
      <w:r>
        <w:rPr>
          <w:rFonts w:hint="eastAsia" w:ascii="宋体" w:hAnsi="宋体"/>
          <w:bCs/>
          <w:szCs w:val="21"/>
        </w:rPr>
        <w:t>（1）评审委员会组成不符合相关规定的；</w:t>
      </w:r>
    </w:p>
    <w:p>
      <w:pPr>
        <w:ind w:firstLine="411" w:firstLineChars="196"/>
        <w:rPr>
          <w:rFonts w:ascii="宋体" w:hAnsi="宋体"/>
          <w:bCs/>
          <w:szCs w:val="21"/>
        </w:rPr>
      </w:pPr>
      <w:r>
        <w:rPr>
          <w:rFonts w:hint="eastAsia" w:ascii="宋体" w:hAnsi="宋体"/>
          <w:bCs/>
          <w:szCs w:val="21"/>
        </w:rPr>
        <w:t>（2）有《政府采购货物和服务招标投标管理办法》第六十二条第一至五项情形的；</w:t>
      </w:r>
    </w:p>
    <w:p>
      <w:pPr>
        <w:ind w:firstLine="411" w:firstLineChars="196"/>
        <w:rPr>
          <w:rFonts w:ascii="宋体" w:hAnsi="宋体"/>
          <w:bCs/>
          <w:szCs w:val="21"/>
        </w:rPr>
      </w:pPr>
      <w:r>
        <w:rPr>
          <w:rFonts w:hint="eastAsia" w:ascii="宋体" w:hAnsi="宋体"/>
          <w:bCs/>
          <w:szCs w:val="21"/>
        </w:rPr>
        <w:t>（3）评审委员会及其成员独立评标受到非法干预的；</w:t>
      </w:r>
    </w:p>
    <w:p>
      <w:pPr>
        <w:ind w:firstLine="411" w:firstLineChars="196"/>
        <w:rPr>
          <w:rFonts w:ascii="宋体" w:hAnsi="宋体"/>
          <w:bCs/>
          <w:szCs w:val="21"/>
        </w:rPr>
      </w:pPr>
      <w:r>
        <w:rPr>
          <w:rFonts w:hint="eastAsia" w:ascii="宋体" w:hAnsi="宋体"/>
          <w:bCs/>
          <w:szCs w:val="21"/>
        </w:rPr>
        <w:t>（4）有政府采购法实施条例第七十五条规定的违法行为的。</w:t>
      </w:r>
    </w:p>
    <w:p>
      <w:pPr>
        <w:ind w:firstLine="411" w:firstLineChars="196"/>
        <w:rPr>
          <w:rFonts w:ascii="宋体" w:hAnsi="宋体"/>
          <w:bCs/>
          <w:szCs w:val="21"/>
        </w:rPr>
      </w:pPr>
      <w:r>
        <w:rPr>
          <w:rFonts w:hint="eastAsia" w:ascii="宋体" w:hAnsi="宋体"/>
          <w:bCs/>
          <w:szCs w:val="21"/>
        </w:rPr>
        <w:t>有违法违规行为的原评审委员会成员不得参加重新组建的评审委员会。</w:t>
      </w:r>
    </w:p>
    <w:p>
      <w:pPr>
        <w:ind w:firstLine="411" w:firstLineChars="196"/>
        <w:rPr>
          <w:rFonts w:ascii="宋体" w:hAnsi="宋体"/>
          <w:bCs/>
          <w:szCs w:val="21"/>
        </w:rPr>
      </w:pPr>
    </w:p>
    <w:p>
      <w:pPr>
        <w:keepNext/>
        <w:keepLines/>
        <w:numPr>
          <w:ilvl w:val="0"/>
          <w:numId w:val="6"/>
        </w:numPr>
        <w:adjustRightInd w:val="0"/>
        <w:spacing w:before="120" w:beforeLines="50" w:after="120"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定标及公示</w:t>
      </w:r>
    </w:p>
    <w:p>
      <w:pPr>
        <w:keepNext/>
        <w:keepLines/>
        <w:adjustRightInd w:val="0"/>
        <w:spacing w:before="120" w:beforeLines="50" w:after="120" w:afterLines="50"/>
        <w:textAlignment w:val="baseline"/>
        <w:outlineLvl w:val="1"/>
        <w:rPr>
          <w:rFonts w:ascii="Arial" w:hAnsi="Arial" w:eastAsia="黑体"/>
          <w:b/>
          <w:bCs/>
          <w:sz w:val="28"/>
          <w:szCs w:val="28"/>
        </w:rPr>
      </w:pPr>
    </w:p>
    <w:p>
      <w:pPr>
        <w:spacing w:line="360" w:lineRule="auto"/>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1评审委员会依据本项目招标文件所约定的评标方法进行评审和比较，向医院采购机构提交书面评标报告，并根据评标方法比较评价结果从优到劣进行排序，并推荐中标候选人或确定中标供应商。</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2采用最低价法的，评标结果按投标报价由低到高顺序排列。投标报价相同的并列。投标文件满足招标文件全部实质性要求且投标报价最低的投标人为排名第一的中标候选人。</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3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4出现并列的情况时，采取随机抽取的方式确定并列</w:t>
      </w:r>
      <w:r>
        <w:rPr>
          <w:rFonts w:ascii="宋体" w:hAnsi="宋体"/>
          <w:szCs w:val="21"/>
        </w:rPr>
        <w:t>的投标人的排序</w:t>
      </w:r>
      <w:r>
        <w:rPr>
          <w:rFonts w:hint="eastAsia" w:ascii="宋体" w:hAnsi="宋体"/>
          <w:szCs w:val="21"/>
        </w:rPr>
        <w:t>，具体操作办法及流程由评审委员会确定。</w:t>
      </w:r>
    </w:p>
    <w:p>
      <w:pPr>
        <w:ind w:firstLine="411" w:firstLineChars="196"/>
        <w:rPr>
          <w:rFonts w:ascii="宋体" w:hAnsi="宋体"/>
          <w:szCs w:val="21"/>
        </w:rPr>
      </w:pPr>
      <w:r>
        <w:rPr>
          <w:rFonts w:hint="eastAsia" w:ascii="宋体" w:hAnsi="宋体"/>
          <w:szCs w:val="21"/>
        </w:rPr>
        <w:t>38.</w:t>
      </w:r>
      <w:r>
        <w:rPr>
          <w:rFonts w:ascii="宋体" w:hAnsi="宋体"/>
          <w:szCs w:val="21"/>
        </w:rPr>
        <w:t>5</w:t>
      </w:r>
      <w:r>
        <w:rPr>
          <w:rFonts w:hint="eastAsia" w:ascii="宋体" w:hAnsi="宋体"/>
          <w:szCs w:val="21"/>
        </w:rPr>
        <w:t>专用条款另有规定的，按专用条款相关要求定标。</w:t>
      </w:r>
    </w:p>
    <w:p>
      <w:pPr>
        <w:spacing w:line="360" w:lineRule="auto"/>
        <w:rPr>
          <w:rFonts w:ascii="黑体" w:hAnsi="宋体" w:eastAsia="黑体"/>
          <w:sz w:val="24"/>
        </w:rPr>
      </w:pPr>
      <w:r>
        <w:rPr>
          <w:rFonts w:hint="eastAsia" w:ascii="黑体" w:hAnsi="宋体" w:eastAsia="黑体"/>
          <w:sz w:val="24"/>
        </w:rPr>
        <w:t>39．编写评标报告</w:t>
      </w:r>
    </w:p>
    <w:p>
      <w:pPr>
        <w:ind w:firstLine="411" w:firstLineChars="196"/>
        <w:rPr>
          <w:rFonts w:ascii="宋体" w:hAnsi="宋体"/>
          <w:szCs w:val="21"/>
        </w:rPr>
      </w:pPr>
      <w:r>
        <w:rPr>
          <w:rFonts w:hint="eastAsia" w:ascii="宋体" w:hAnsi="宋体"/>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存档。</w:t>
      </w:r>
    </w:p>
    <w:p>
      <w:pPr>
        <w:spacing w:line="360" w:lineRule="auto"/>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40.1为体现“公开、公平、公正”的原则，评标结束后，医院采购机构将在“深圳大学总医院招投标管理办公室网站”（</w:t>
      </w:r>
      <w:r>
        <w:fldChar w:fldCharType="begin"/>
      </w:r>
      <w:r>
        <w:instrText xml:space="preserve"> HYPERLINK "http://www.sugh.net/News/Columns/Index/557" </w:instrText>
      </w:r>
      <w:r>
        <w:fldChar w:fldCharType="separate"/>
      </w:r>
      <w:r>
        <w:rPr>
          <w:rStyle w:val="63"/>
          <w:rFonts w:hint="eastAsia" w:ascii="宋体" w:hAnsi="宋体"/>
          <w:szCs w:val="21"/>
        </w:rPr>
        <w:t>http://www.sugh.net/News/Columns/Index/557</w:t>
      </w:r>
      <w:r>
        <w:rPr>
          <w:rStyle w:val="63"/>
          <w:rFonts w:hint="eastAsia" w:ascii="宋体" w:hAnsi="宋体"/>
          <w:szCs w:val="21"/>
        </w:rPr>
        <w:fldChar w:fldCharType="end"/>
      </w:r>
      <w:r>
        <w:rPr>
          <w:rFonts w:hint="eastAsia" w:ascii="宋体" w:hAnsi="宋体"/>
          <w:szCs w:val="21"/>
        </w:rPr>
        <w:t>）上发布中标结果公告。供应商如对评标结果有异议，可在发布公示日期起七个工作日内向医院采购机构提出。若在规定期限内未提出质疑，则视为认同该评标结果。</w:t>
      </w:r>
    </w:p>
    <w:p>
      <w:pPr>
        <w:ind w:firstLine="411" w:firstLineChars="196"/>
        <w:rPr>
          <w:rFonts w:ascii="宋体" w:hAnsi="宋体"/>
          <w:szCs w:val="21"/>
        </w:rPr>
      </w:pPr>
      <w:r>
        <w:rPr>
          <w:rFonts w:hint="eastAsia" w:ascii="宋体" w:hAnsi="宋体"/>
          <w:szCs w:val="21"/>
        </w:rPr>
        <w:t>40.2质疑投诉人应保证质疑投诉内容的真实性和可靠性，并承担相应的法律责任。</w:t>
      </w:r>
    </w:p>
    <w:p>
      <w:pPr>
        <w:spacing w:line="360" w:lineRule="auto"/>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1中标公告公布以后,在公示</w:t>
      </w:r>
      <w:r>
        <w:rPr>
          <w:rFonts w:ascii="宋体" w:hAnsi="宋体"/>
          <w:szCs w:val="21"/>
        </w:rPr>
        <w:t>期</w:t>
      </w:r>
      <w:r>
        <w:rPr>
          <w:rFonts w:hint="eastAsia" w:ascii="宋体" w:hAnsi="宋体"/>
          <w:szCs w:val="21"/>
        </w:rPr>
        <w:t>内无有效质疑投诉,中标供应商和采购人可到医院采购机构领取《中标通知书》（咨询电话：0755-21839935，</w:t>
      </w:r>
      <w:r>
        <w:rPr>
          <w:rFonts w:ascii="宋体" w:hAnsi="宋体"/>
          <w:szCs w:val="21"/>
        </w:rPr>
        <w:t>地点：</w:t>
      </w:r>
      <w:r>
        <w:rPr>
          <w:rFonts w:hint="eastAsia" w:ascii="宋体" w:hAnsi="宋体"/>
          <w:szCs w:val="21"/>
        </w:rPr>
        <w:t>深圳大学总医院教学楼1楼招投标管理办公室102室）。</w:t>
      </w:r>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r>
        <w:rPr>
          <w:rFonts w:hint="eastAsia" w:ascii="宋体" w:hAnsi="宋体"/>
          <w:szCs w:val="21"/>
        </w:rPr>
        <w:t>41.3因质疑投诉或其它原因导致项目结果变更或采购终止的，医院采购机构有权吊销中标通知书或终止采购合同。</w:t>
      </w:r>
    </w:p>
    <w:p>
      <w:pPr>
        <w:ind w:firstLine="411" w:firstLineChars="196"/>
        <w:rPr>
          <w:rFonts w:ascii="宋体" w:hAnsi="宋体"/>
          <w:szCs w:val="21"/>
        </w:rPr>
      </w:pPr>
    </w:p>
    <w:p>
      <w:pPr>
        <w:keepNext/>
        <w:keepLines/>
        <w:numPr>
          <w:ilvl w:val="0"/>
          <w:numId w:val="6"/>
        </w:numPr>
        <w:adjustRightInd w:val="0"/>
        <w:spacing w:before="120" w:beforeLines="50" w:after="120" w:afterLines="50"/>
        <w:ind w:left="562" w:hanging="562"/>
        <w:jc w:val="center"/>
        <w:textAlignment w:val="baseline"/>
        <w:outlineLvl w:val="1"/>
        <w:rPr>
          <w:rFonts w:ascii="Arial" w:hAnsi="Arial" w:eastAsia="黑体"/>
          <w:b/>
          <w:bCs/>
          <w:sz w:val="28"/>
          <w:szCs w:val="28"/>
        </w:rPr>
      </w:pPr>
      <w:r>
        <w:rPr>
          <w:rFonts w:hint="eastAsia" w:ascii="Arial" w:hAnsi="Arial" w:eastAsia="黑体"/>
          <w:b/>
          <w:bCs/>
          <w:sz w:val="28"/>
          <w:szCs w:val="28"/>
        </w:rPr>
        <w:t>公开招标失败的后续处理</w:t>
      </w:r>
    </w:p>
    <w:p>
      <w:pPr>
        <w:keepNext/>
        <w:keepLines/>
        <w:adjustRightInd w:val="0"/>
        <w:spacing w:before="120" w:beforeLines="50" w:after="120" w:afterLines="50"/>
        <w:textAlignment w:val="baseline"/>
        <w:outlineLvl w:val="1"/>
        <w:rPr>
          <w:rFonts w:ascii="Arial" w:hAnsi="Arial" w:eastAsia="黑体"/>
          <w:b/>
          <w:bCs/>
          <w:sz w:val="28"/>
          <w:szCs w:val="28"/>
        </w:rPr>
      </w:pPr>
    </w:p>
    <w:p>
      <w:pPr>
        <w:spacing w:line="360" w:lineRule="auto"/>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文件的供应商数量不足、经评审委员会评审对招标文件作实质响应的供应商不足等原因造成公开招标失败，可由医院</w:t>
      </w:r>
      <w:r>
        <w:rPr>
          <w:rFonts w:hint="eastAsia" w:ascii="宋体" w:hAnsi="宋体" w:cs="宋体"/>
        </w:rPr>
        <w:t>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（1）由医院采购机构重新组织公开招标；</w:t>
      </w:r>
    </w:p>
    <w:p>
      <w:pPr>
        <w:ind w:firstLine="411" w:firstLineChars="196"/>
        <w:rPr>
          <w:rFonts w:ascii="宋体" w:hAnsi="宋体"/>
        </w:rPr>
      </w:pPr>
      <w:r>
        <w:rPr>
          <w:rFonts w:hint="eastAsia" w:ascii="宋体" w:hAnsi="宋体"/>
        </w:rPr>
        <w:t>（2）根据实际情况，</w:t>
      </w:r>
      <w:r>
        <w:rPr>
          <w:rFonts w:ascii="宋体" w:hAnsi="宋体"/>
        </w:rPr>
        <w:t>依照</w:t>
      </w:r>
      <w:r>
        <w:rPr>
          <w:rFonts w:hint="eastAsia" w:ascii="宋体" w:hAnsi="宋体"/>
        </w:rPr>
        <w:t>医院的</w:t>
      </w:r>
      <w:r>
        <w:rPr>
          <w:rFonts w:ascii="宋体" w:hAnsi="宋体"/>
        </w:rPr>
        <w:t>有关规定申请将</w:t>
      </w:r>
      <w:r>
        <w:rPr>
          <w:rFonts w:hint="eastAsia" w:ascii="宋体" w:hAnsi="宋体"/>
        </w:rPr>
        <w:t>招标失败的采购项目转为竞争性谈判或单一来源谈判方式采购。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42.4公开招标失败的采购项目重新组织公开招标，医院采购机构重新按公开招标流程组织采购活动。</w:t>
      </w:r>
    </w:p>
    <w:p>
      <w:pPr>
        <w:ind w:firstLine="411" w:firstLineChars="196"/>
        <w:rPr>
          <w:rFonts w:ascii="宋体" w:hAnsi="宋体"/>
        </w:rPr>
      </w:pPr>
      <w:r>
        <w:rPr>
          <w:rFonts w:hint="eastAsia" w:ascii="宋体" w:hAnsi="宋体"/>
        </w:rPr>
        <w:t>42.5公开招标失败的采购项目按照《深圳大学总医院</w:t>
      </w:r>
      <w:r>
        <w:rPr>
          <w:rFonts w:ascii="宋体" w:hAnsi="宋体"/>
        </w:rPr>
        <w:t>采购管理办法</w:t>
      </w:r>
      <w:r>
        <w:rPr>
          <w:rFonts w:hint="eastAsia" w:ascii="宋体" w:hAnsi="宋体"/>
        </w:rPr>
        <w:t>》及</w:t>
      </w:r>
      <w:r>
        <w:rPr>
          <w:rFonts w:ascii="宋体" w:hAnsi="宋体"/>
        </w:rPr>
        <w:t>相关规定</w:t>
      </w:r>
      <w:r>
        <w:rPr>
          <w:rFonts w:hint="eastAsia" w:ascii="宋体" w:hAnsi="宋体"/>
        </w:rPr>
        <w:t>的</w:t>
      </w:r>
      <w:r>
        <w:rPr>
          <w:rFonts w:ascii="宋体" w:hAnsi="宋体"/>
        </w:rPr>
        <w:t>程序</w:t>
      </w:r>
      <w:r>
        <w:rPr>
          <w:rFonts w:hint="eastAsia" w:ascii="宋体" w:hAnsi="宋体"/>
        </w:rPr>
        <w:t>批准转为竞争性谈判或单一来源谈判方式采购的，按规定要求组织采购活动。</w:t>
      </w:r>
    </w:p>
    <w:p>
      <w:pPr>
        <w:ind w:firstLine="411" w:firstLineChars="196"/>
        <w:rPr>
          <w:rFonts w:ascii="宋体" w:hAnsi="宋体"/>
        </w:rPr>
      </w:pPr>
    </w:p>
    <w:p>
      <w:pPr>
        <w:keepNext/>
        <w:keepLines/>
        <w:numPr>
          <w:ilvl w:val="0"/>
          <w:numId w:val="6"/>
        </w:numPr>
        <w:adjustRightInd w:val="0"/>
        <w:spacing w:before="120" w:beforeLines="50" w:after="120" w:afterLines="50"/>
        <w:ind w:left="643" w:hanging="643"/>
        <w:jc w:val="center"/>
        <w:textAlignment w:val="baseline"/>
        <w:outlineLvl w:val="1"/>
        <w:rPr>
          <w:rFonts w:ascii="Arial" w:hAnsi="Arial" w:eastAsia="黑体"/>
          <w:b/>
          <w:bCs/>
          <w:sz w:val="28"/>
          <w:szCs w:val="28"/>
        </w:rPr>
      </w:pPr>
      <w:r>
        <w:rPr>
          <w:rFonts w:hint="eastAsia" w:ascii="Arial" w:hAnsi="Arial" w:eastAsia="黑体"/>
          <w:b/>
          <w:bCs/>
          <w:sz w:val="32"/>
          <w:szCs w:val="32"/>
        </w:rPr>
        <w:t>合同的授予与备案</w:t>
      </w:r>
    </w:p>
    <w:p>
      <w:pPr>
        <w:keepNext/>
        <w:keepLines/>
        <w:adjustRightInd w:val="0"/>
        <w:spacing w:before="120" w:beforeLines="50" w:after="120" w:afterLines="50"/>
        <w:textAlignment w:val="baseline"/>
        <w:outlineLvl w:val="1"/>
        <w:rPr>
          <w:rFonts w:ascii="Arial" w:hAnsi="Arial" w:eastAsia="黑体"/>
          <w:b/>
          <w:bCs/>
          <w:sz w:val="28"/>
          <w:szCs w:val="28"/>
        </w:rPr>
      </w:pP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3</w:t>
      </w:r>
      <w:r>
        <w:rPr>
          <w:rFonts w:hint="eastAsia" w:ascii="黑体" w:hAnsi="宋体" w:eastAsia="黑体"/>
          <w:sz w:val="24"/>
        </w:rPr>
        <w:t>．合同授予标准</w:t>
      </w:r>
    </w:p>
    <w:p>
      <w:pPr>
        <w:ind w:firstLine="411" w:firstLineChars="196"/>
        <w:rPr>
          <w:rFonts w:ascii="宋体" w:hAnsi="宋体"/>
          <w:szCs w:val="21"/>
        </w:rPr>
      </w:pPr>
      <w:r>
        <w:rPr>
          <w:rFonts w:hint="eastAsia" w:ascii="宋体" w:hAnsi="宋体"/>
          <w:szCs w:val="21"/>
        </w:rPr>
        <w:t>本项目的合同将授予按本招标文件规定评审确定的中标人。</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4</w:t>
      </w:r>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医院采购机构和采购人保留在签订合同之前任何时候接受或拒绝任何投标或所有投标，以及宣布招标无效的权力，对受影响的投标人不承担任何责任，也无义务向受影响的投标人解释采取这一行动的理由。</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5</w:t>
      </w:r>
      <w:r>
        <w:rPr>
          <w:rFonts w:hint="eastAsia" w:ascii="黑体" w:hAnsi="宋体" w:eastAsia="黑体"/>
          <w:sz w:val="24"/>
        </w:rPr>
        <w:t>．合同协议书的签订</w:t>
      </w:r>
    </w:p>
    <w:p>
      <w:pPr>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.1中标人将于中标通知书发出之日起1</w:t>
      </w:r>
      <w:r>
        <w:rPr>
          <w:rFonts w:ascii="宋体" w:hAnsi="宋体"/>
          <w:szCs w:val="21"/>
        </w:rPr>
        <w:t>0个工作日</w:t>
      </w:r>
      <w:r>
        <w:rPr>
          <w:rFonts w:hint="eastAsia" w:ascii="宋体" w:hAnsi="宋体"/>
          <w:szCs w:val="21"/>
        </w:rPr>
        <w:t>内，按照采购文件（招标文件和投标文件等）内容与采购人签订政府采购合同；合同的实质性内容应当符合招标文件的规定。</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.2中标人如不按本通用条款第4</w:t>
      </w:r>
      <w:r>
        <w:rPr>
          <w:rFonts w:ascii="宋体" w:hAnsi="宋体"/>
          <w:szCs w:val="21"/>
        </w:rPr>
        <w:t>5.1</w:t>
      </w:r>
      <w:r>
        <w:rPr>
          <w:rFonts w:hint="eastAsia" w:ascii="宋体" w:hAnsi="宋体"/>
          <w:szCs w:val="21"/>
        </w:rPr>
        <w:t>款的规定与采购人签订合同，医院采购机构将有充分的理由取消</w:t>
      </w:r>
      <w:r>
        <w:rPr>
          <w:rFonts w:ascii="宋体" w:hAnsi="宋体"/>
          <w:szCs w:val="21"/>
        </w:rPr>
        <w:t>中标人的</w:t>
      </w:r>
      <w:r>
        <w:rPr>
          <w:rFonts w:hint="eastAsia" w:ascii="宋体" w:hAnsi="宋体"/>
          <w:szCs w:val="21"/>
        </w:rPr>
        <w:t>中标，并计入</w:t>
      </w:r>
      <w:r>
        <w:rPr>
          <w:rFonts w:ascii="宋体" w:hAnsi="宋体"/>
          <w:szCs w:val="21"/>
        </w:rPr>
        <w:t>供应商诚信档案</w:t>
      </w:r>
      <w:r>
        <w:rPr>
          <w:rFonts w:hint="eastAsia" w:ascii="宋体" w:hAnsi="宋体"/>
          <w:szCs w:val="21"/>
        </w:rPr>
        <w:t>。</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5</w:t>
      </w:r>
      <w:r>
        <w:rPr>
          <w:rFonts w:hint="eastAsia" w:ascii="宋体" w:hAnsi="宋体"/>
          <w:szCs w:val="21"/>
        </w:rPr>
        <w:t>.3中标人应当按照合同约定履行义务，完成中标项目，不得将中标项目转让（转包）给他人。</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6</w:t>
      </w:r>
      <w:r>
        <w:rPr>
          <w:rFonts w:hint="eastAsia" w:ascii="黑体" w:hAnsi="宋体" w:eastAsia="黑体"/>
          <w:sz w:val="24"/>
        </w:rPr>
        <w:t>．履约担保</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.1在签订项目合同的同时，中标人应按“对通用条款的补充内容”中规定的金额向采购人提交履约保证金。</w:t>
      </w:r>
    </w:p>
    <w:p>
      <w:pPr>
        <w:spacing w:line="0" w:lineRule="atLeast"/>
        <w:ind w:firstLine="411" w:firstLineChars="196"/>
        <w:rPr>
          <w:rFonts w:ascii="宋体" w:hAnsi="宋体"/>
          <w:szCs w:val="21"/>
        </w:rPr>
      </w:pPr>
      <w:r>
        <w:rPr>
          <w:rFonts w:hint="eastAsia" w:ascii="宋体" w:hAnsi="宋体"/>
          <w:szCs w:val="21"/>
        </w:rPr>
        <w:t>4</w:t>
      </w:r>
      <w:r>
        <w:rPr>
          <w:rFonts w:ascii="宋体" w:hAnsi="宋体"/>
          <w:szCs w:val="21"/>
        </w:rPr>
        <w:t>6</w:t>
      </w:r>
      <w:r>
        <w:rPr>
          <w:rFonts w:hint="eastAsia" w:ascii="宋体" w:hAnsi="宋体"/>
          <w:szCs w:val="21"/>
        </w:rPr>
        <w:t>.2如果中标人不能按“对</w:t>
      </w:r>
      <w:r>
        <w:rPr>
          <w:rFonts w:ascii="宋体" w:hAnsi="宋体"/>
          <w:szCs w:val="21"/>
        </w:rPr>
        <w:t>通用条款的补充内容</w:t>
      </w:r>
      <w:r>
        <w:rPr>
          <w:rFonts w:hint="eastAsia" w:ascii="宋体" w:hAnsi="宋体"/>
          <w:szCs w:val="21"/>
        </w:rPr>
        <w:t>”中规</w:t>
      </w:r>
      <w:r>
        <w:rPr>
          <w:rFonts w:hint="eastAsia"/>
        </w:rPr>
        <w:t>定的</w:t>
      </w:r>
      <w:r>
        <w:t>金额</w:t>
      </w:r>
      <w:r>
        <w:rPr>
          <w:rFonts w:hint="eastAsia"/>
        </w:rPr>
        <w:t>向</w:t>
      </w:r>
      <w:r>
        <w:t>采购人</w:t>
      </w:r>
      <w:r>
        <w:rPr>
          <w:rFonts w:hint="eastAsia"/>
        </w:rPr>
        <w:t>提交履约</w:t>
      </w:r>
      <w:r>
        <w:t>保证金，采购人</w:t>
      </w:r>
      <w:r>
        <w:rPr>
          <w:rFonts w:hint="eastAsia"/>
        </w:rPr>
        <w:t>将有充分的理由通过医院采购机构取消其中标，给采购人造成</w:t>
      </w:r>
      <w:r>
        <w:rPr>
          <w:rFonts w:hint="eastAsia" w:ascii="宋体" w:hAnsi="宋体"/>
          <w:szCs w:val="21"/>
        </w:rPr>
        <w:t>的损失，中标人还应当予以赔偿。</w:t>
      </w:r>
    </w:p>
    <w:p>
      <w:pPr>
        <w:spacing w:line="360" w:lineRule="auto"/>
        <w:rPr>
          <w:rFonts w:ascii="黑体" w:hAnsi="宋体" w:eastAsia="黑体"/>
          <w:sz w:val="24"/>
        </w:rPr>
      </w:pPr>
      <w:r>
        <w:rPr>
          <w:rFonts w:hint="eastAsia" w:ascii="黑体" w:hAnsi="宋体" w:eastAsia="黑体"/>
          <w:sz w:val="24"/>
        </w:rPr>
        <w:t>4</w:t>
      </w:r>
      <w:r>
        <w:rPr>
          <w:rFonts w:ascii="黑体" w:hAnsi="宋体" w:eastAsia="黑体"/>
          <w:sz w:val="24"/>
        </w:rPr>
        <w:t>7</w:t>
      </w:r>
      <w:r>
        <w:rPr>
          <w:rFonts w:hint="eastAsia" w:ascii="黑体" w:hAnsi="宋体" w:eastAsia="黑体"/>
          <w:sz w:val="24"/>
        </w:rPr>
        <w:t>.合同的备案</w:t>
      </w:r>
    </w:p>
    <w:p>
      <w:pPr>
        <w:spacing w:line="0" w:lineRule="atLeast"/>
        <w:ind w:firstLine="411" w:firstLineChars="196"/>
        <w:rPr>
          <w:rFonts w:ascii="宋体" w:hAnsi="宋体"/>
          <w:szCs w:val="21"/>
        </w:rPr>
      </w:pPr>
      <w:r>
        <w:rPr>
          <w:rFonts w:hint="eastAsia" w:ascii="宋体" w:hAnsi="宋体"/>
          <w:szCs w:val="21"/>
        </w:rPr>
        <w:t>采购人与中标人应于合同签订之日起10日内，由采购人或委托中标人将采购合同副本抄送医院采购机构备案。</w:t>
      </w:r>
    </w:p>
    <w:p>
      <w:pPr>
        <w:spacing w:line="360" w:lineRule="auto"/>
        <w:rPr>
          <w:rFonts w:ascii="黑体" w:hAnsi="宋体" w:eastAsia="黑体"/>
          <w:sz w:val="24"/>
        </w:rPr>
      </w:pPr>
      <w:r>
        <w:rPr>
          <w:rFonts w:ascii="黑体" w:hAnsi="宋体" w:eastAsia="黑体"/>
          <w:sz w:val="24"/>
        </w:rPr>
        <w:t>48</w:t>
      </w:r>
      <w:r>
        <w:rPr>
          <w:rFonts w:hint="eastAsia" w:ascii="黑体" w:hAnsi="宋体" w:eastAsia="黑体"/>
          <w:sz w:val="24"/>
        </w:rPr>
        <w:t>.履约情况的反馈</w:t>
      </w:r>
    </w:p>
    <w:p>
      <w:pPr>
        <w:spacing w:line="0" w:lineRule="atLeast"/>
        <w:ind w:firstLine="411" w:firstLineChars="196"/>
        <w:rPr>
          <w:rFonts w:ascii="宋体" w:hAnsi="宋体"/>
          <w:szCs w:val="21"/>
        </w:rPr>
      </w:pPr>
      <w:r>
        <w:rPr>
          <w:rFonts w:hint="eastAsia" w:ascii="宋体" w:hAnsi="宋体"/>
          <w:szCs w:val="21"/>
        </w:rPr>
        <w:t>采购人应及时向医院采购机构反馈中标人的履约情况（填写《深圳大学总医院</w:t>
      </w:r>
      <w:r>
        <w:rPr>
          <w:rFonts w:hint="eastAsia"/>
        </w:rPr>
        <w:t>采购履约情况反馈表》</w:t>
      </w:r>
      <w:r>
        <w:rPr>
          <w:rFonts w:hint="eastAsia" w:ascii="宋体" w:hAnsi="宋体"/>
          <w:szCs w:val="21"/>
        </w:rPr>
        <w:t>），中标人的履约情况将作为供应商考核的重要依据，并将成为日后深圳大学总医院采购活动中的项目评标依据。</w:t>
      </w:r>
    </w:p>
    <w:p>
      <w:pPr>
        <w:spacing w:line="360" w:lineRule="auto"/>
        <w:rPr>
          <w:rFonts w:ascii="黑体" w:hAnsi="宋体" w:eastAsia="黑体"/>
          <w:sz w:val="24"/>
        </w:rPr>
      </w:pPr>
      <w:r>
        <w:rPr>
          <w:rFonts w:ascii="黑体" w:hAnsi="宋体" w:eastAsia="黑体"/>
          <w:sz w:val="24"/>
        </w:rPr>
        <w:t>49</w:t>
      </w:r>
      <w:r>
        <w:rPr>
          <w:rFonts w:hint="eastAsia" w:ascii="黑体" w:hAnsi="宋体" w:eastAsia="黑体"/>
          <w:sz w:val="24"/>
        </w:rPr>
        <w:t>．腐败和欺诈行为</w:t>
      </w:r>
    </w:p>
    <w:p>
      <w:pPr>
        <w:spacing w:line="0" w:lineRule="atLeast"/>
        <w:ind w:firstLine="411" w:firstLineChars="196"/>
        <w:rPr>
          <w:rFonts w:ascii="宋体" w:hAnsi="宋体"/>
          <w:szCs w:val="21"/>
        </w:rPr>
      </w:pPr>
      <w:r>
        <w:rPr>
          <w:rFonts w:ascii="宋体" w:hAnsi="宋体"/>
          <w:szCs w:val="21"/>
        </w:rPr>
        <w:t>49</w:t>
      </w:r>
      <w:r>
        <w:rPr>
          <w:rFonts w:hint="eastAsia" w:ascii="宋体" w:hAnsi="宋体"/>
          <w:szCs w:val="21"/>
        </w:rPr>
        <w:t>.1 “腐败行为”是指提供、给予、接受或索取任何有价值的东西来影响招标方或采购人在采购过程或合同实施过程中的行为；</w:t>
      </w:r>
    </w:p>
    <w:p>
      <w:pPr>
        <w:spacing w:line="0" w:lineRule="atLeast"/>
        <w:ind w:firstLine="411" w:firstLineChars="196"/>
        <w:rPr>
          <w:rFonts w:ascii="宋体" w:hAnsi="宋体"/>
          <w:szCs w:val="21"/>
        </w:rPr>
      </w:pPr>
      <w:r>
        <w:rPr>
          <w:rFonts w:ascii="宋体" w:hAnsi="宋体"/>
          <w:szCs w:val="21"/>
        </w:rPr>
        <w:t xml:space="preserve">49.2 </w:t>
      </w:r>
      <w:r>
        <w:rPr>
          <w:rFonts w:hint="eastAsia" w:ascii="宋体" w:hAnsi="宋体"/>
          <w:szCs w:val="21"/>
        </w:rPr>
        <w:t>“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pPr>
        <w:spacing w:line="0" w:lineRule="atLeast"/>
        <w:ind w:firstLine="411" w:firstLineChars="196"/>
        <w:rPr>
          <w:rFonts w:ascii="宋体" w:hAnsi="宋体"/>
          <w:szCs w:val="21"/>
        </w:rPr>
      </w:pPr>
      <w:r>
        <w:rPr>
          <w:rFonts w:ascii="宋体" w:hAnsi="宋体"/>
          <w:szCs w:val="21"/>
        </w:rPr>
        <w:t>49.3</w:t>
      </w:r>
      <w:r>
        <w:rPr>
          <w:rFonts w:hint="eastAsia" w:ascii="宋体" w:hAnsi="宋体"/>
          <w:szCs w:val="21"/>
        </w:rPr>
        <w:t>如果评审委员会认为投标人在本合同的竞争中有腐败和欺诈行为，则拒绝接受该投标。</w:t>
      </w:r>
    </w:p>
    <w:p>
      <w:pPr>
        <w:spacing w:line="0" w:lineRule="atLeast"/>
        <w:ind w:firstLine="411" w:firstLineChars="196"/>
        <w:rPr>
          <w:rFonts w:ascii="宋体" w:hAnsi="宋体"/>
          <w:szCs w:val="21"/>
        </w:rPr>
      </w:pPr>
      <w:r>
        <w:rPr>
          <w:rFonts w:ascii="宋体" w:hAnsi="宋体"/>
          <w:szCs w:val="21"/>
        </w:rPr>
        <w:t>49.4</w:t>
      </w:r>
      <w:r>
        <w:rPr>
          <w:rFonts w:hint="eastAsia" w:ascii="宋体" w:hAnsi="宋体"/>
          <w:szCs w:val="21"/>
        </w:rPr>
        <w:t>如果投标人或中标人在采购合同的竞争和实施过程中有腐败和欺诈行为，深圳大学总医院将依据《中华人民共和国合同法》、《深圳经济特区政府采购条例》有关法律法规追究</w:t>
      </w:r>
      <w:r>
        <w:rPr>
          <w:rFonts w:ascii="宋体" w:hAnsi="宋体"/>
          <w:szCs w:val="21"/>
        </w:rPr>
        <w:t>其责任</w:t>
      </w:r>
      <w:r>
        <w:rPr>
          <w:rFonts w:hint="eastAsia" w:ascii="宋体" w:hAnsi="宋体"/>
          <w:szCs w:val="21"/>
        </w:rPr>
        <w:t>。</w:t>
      </w:r>
    </w:p>
    <w:p>
      <w:pPr>
        <w:spacing w:line="0" w:lineRule="atLeast"/>
        <w:ind w:firstLine="411" w:firstLineChars="196"/>
        <w:rPr>
          <w:rFonts w:ascii="宋体" w:hAnsi="宋体"/>
          <w:szCs w:val="21"/>
        </w:rPr>
      </w:pPr>
    </w:p>
    <w:p>
      <w:pPr>
        <w:keepNext/>
        <w:keepLines/>
        <w:numPr>
          <w:ilvl w:val="0"/>
          <w:numId w:val="6"/>
        </w:numPr>
        <w:adjustRightInd w:val="0"/>
        <w:spacing w:before="120" w:beforeLines="50" w:after="120" w:afterLines="50"/>
        <w:ind w:left="643" w:hanging="643"/>
        <w:jc w:val="center"/>
        <w:textAlignment w:val="baseline"/>
        <w:outlineLvl w:val="1"/>
        <w:rPr>
          <w:rFonts w:ascii="Arial" w:hAnsi="Arial" w:eastAsia="黑体"/>
          <w:b/>
          <w:bCs/>
          <w:sz w:val="32"/>
          <w:szCs w:val="32"/>
        </w:rPr>
      </w:pPr>
      <w:r>
        <w:rPr>
          <w:rFonts w:hint="eastAsia" w:ascii="Arial" w:hAnsi="Arial" w:eastAsia="黑体"/>
          <w:b/>
          <w:bCs/>
          <w:sz w:val="32"/>
          <w:szCs w:val="32"/>
        </w:rPr>
        <w:t>质疑处理</w:t>
      </w:r>
    </w:p>
    <w:p>
      <w:pPr>
        <w:keepNext/>
        <w:keepLines/>
        <w:adjustRightInd w:val="0"/>
        <w:spacing w:before="120" w:beforeLines="50" w:after="120" w:afterLines="50"/>
        <w:textAlignment w:val="baseline"/>
        <w:outlineLvl w:val="1"/>
        <w:rPr>
          <w:rFonts w:ascii="Arial" w:hAnsi="Arial" w:eastAsia="黑体"/>
          <w:b/>
          <w:bCs/>
          <w:sz w:val="32"/>
          <w:szCs w:val="32"/>
        </w:rPr>
      </w:pPr>
    </w:p>
    <w:p>
      <w:pPr>
        <w:spacing w:line="360" w:lineRule="auto"/>
        <w:rPr>
          <w:rFonts w:ascii="黑体" w:hAnsi="宋体" w:eastAsia="黑体"/>
          <w:sz w:val="24"/>
        </w:rPr>
      </w:pPr>
      <w:r>
        <w:rPr>
          <w:rFonts w:hint="eastAsia" w:ascii="黑体" w:hAnsi="宋体" w:eastAsia="黑体"/>
          <w:sz w:val="24"/>
        </w:rPr>
        <w:t>5</w:t>
      </w:r>
      <w:r>
        <w:rPr>
          <w:rFonts w:ascii="黑体" w:hAnsi="宋体" w:eastAsia="黑体"/>
          <w:sz w:val="24"/>
        </w:rPr>
        <w:t>0</w:t>
      </w:r>
      <w:r>
        <w:rPr>
          <w:rFonts w:hint="eastAsia" w:ascii="黑体" w:hAnsi="宋体" w:eastAsia="黑体"/>
          <w:sz w:val="24"/>
        </w:rPr>
        <w:t>.质疑处理原则</w:t>
      </w:r>
    </w:p>
    <w:p>
      <w:pPr>
        <w:ind w:firstLine="411" w:firstLineChars="196"/>
        <w:rPr>
          <w:rFonts w:ascii="宋体" w:hAnsi="宋体"/>
          <w:szCs w:val="21"/>
        </w:rPr>
      </w:pPr>
      <w:r>
        <w:rPr>
          <w:rFonts w:hint="eastAsia" w:ascii="宋体" w:hAnsi="宋体"/>
          <w:szCs w:val="21"/>
        </w:rPr>
        <w:t>5</w:t>
      </w:r>
      <w:r>
        <w:rPr>
          <w:rFonts w:ascii="宋体" w:hAnsi="宋体"/>
          <w:szCs w:val="21"/>
        </w:rPr>
        <w:t>0</w:t>
      </w:r>
      <w:r>
        <w:rPr>
          <w:rFonts w:hint="eastAsia" w:ascii="宋体" w:hAnsi="宋体"/>
          <w:szCs w:val="21"/>
        </w:rPr>
        <w:t>.1</w:t>
      </w:r>
      <w:r>
        <w:rPr>
          <w:rFonts w:ascii="宋体" w:hAnsi="宋体"/>
          <w:szCs w:val="21"/>
        </w:rPr>
        <w:t>质疑处理遵循公平、公正、规范、高效的原则。</w:t>
      </w:r>
    </w:p>
    <w:p>
      <w:pPr>
        <w:ind w:firstLine="411" w:firstLineChars="196"/>
        <w:rPr>
          <w:rFonts w:ascii="宋体" w:hAnsi="宋体"/>
          <w:szCs w:val="21"/>
        </w:rPr>
      </w:pPr>
      <w:r>
        <w:rPr>
          <w:rFonts w:hint="eastAsia" w:ascii="宋体" w:hAnsi="宋体"/>
          <w:szCs w:val="21"/>
        </w:rPr>
        <w:t>5</w:t>
      </w:r>
      <w:r>
        <w:rPr>
          <w:rFonts w:ascii="宋体" w:hAnsi="宋体"/>
          <w:szCs w:val="21"/>
        </w:rPr>
        <w:t>0</w:t>
      </w:r>
      <w:r>
        <w:rPr>
          <w:rFonts w:hint="eastAsia" w:ascii="宋体" w:hAnsi="宋体"/>
          <w:szCs w:val="21"/>
        </w:rPr>
        <w:t>.2</w:t>
      </w:r>
      <w:r>
        <w:rPr>
          <w:rFonts w:ascii="宋体" w:hAnsi="宋体"/>
          <w:szCs w:val="21"/>
        </w:rPr>
        <w:t>供应商质疑实行实名制和“谁质疑，谁举证”的原则，质疑应有具体的事项及事实根据。</w:t>
      </w:r>
    </w:p>
    <w:p>
      <w:pPr>
        <w:spacing w:line="360" w:lineRule="auto"/>
        <w:rPr>
          <w:rFonts w:ascii="黑体" w:hAnsi="宋体" w:eastAsia="黑体"/>
          <w:sz w:val="24"/>
        </w:rPr>
      </w:pPr>
      <w:r>
        <w:rPr>
          <w:rFonts w:hint="eastAsia" w:ascii="黑体" w:hAnsi="宋体" w:eastAsia="黑体"/>
          <w:sz w:val="24"/>
        </w:rPr>
        <w:t>5</w:t>
      </w:r>
      <w:r>
        <w:rPr>
          <w:rFonts w:ascii="黑体" w:hAnsi="宋体" w:eastAsia="黑体"/>
          <w:sz w:val="24"/>
        </w:rPr>
        <w:t>1</w:t>
      </w:r>
      <w:r>
        <w:rPr>
          <w:rFonts w:hint="eastAsia" w:ascii="黑体" w:hAnsi="宋体" w:eastAsia="黑体"/>
          <w:sz w:val="24"/>
        </w:rPr>
        <w:t>.质疑的</w:t>
      </w:r>
      <w:r>
        <w:rPr>
          <w:rFonts w:ascii="黑体" w:hAnsi="宋体" w:eastAsia="黑体"/>
          <w:sz w:val="24"/>
        </w:rPr>
        <w:t>提出与答复</w:t>
      </w:r>
    </w:p>
    <w:p>
      <w:pPr>
        <w:ind w:firstLine="411" w:firstLineChars="196"/>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.1提出质疑</w:t>
      </w:r>
    </w:p>
    <w:p>
      <w:pPr>
        <w:ind w:firstLine="411" w:firstLineChars="196"/>
        <w:rPr>
          <w:rFonts w:ascii="宋体" w:hAnsi="宋体"/>
          <w:szCs w:val="21"/>
        </w:rPr>
      </w:pPr>
      <w:r>
        <w:rPr>
          <w:rFonts w:hint="eastAsia" w:ascii="宋体" w:hAnsi="宋体"/>
          <w:szCs w:val="21"/>
        </w:rPr>
        <w:t>参与</w:t>
      </w:r>
      <w:r>
        <w:rPr>
          <w:rFonts w:ascii="宋体" w:hAnsi="宋体"/>
          <w:szCs w:val="21"/>
        </w:rPr>
        <w:t>采购活动的</w:t>
      </w:r>
      <w:r>
        <w:rPr>
          <w:rFonts w:hint="eastAsia" w:ascii="宋体" w:hAnsi="宋体"/>
          <w:szCs w:val="21"/>
        </w:rPr>
        <w:t>供应商认为自己权益在</w:t>
      </w:r>
      <w:r>
        <w:rPr>
          <w:rFonts w:ascii="宋体" w:hAnsi="宋体"/>
          <w:szCs w:val="21"/>
        </w:rPr>
        <w:t>采购活动中</w:t>
      </w:r>
      <w:r>
        <w:rPr>
          <w:rFonts w:hint="eastAsia" w:ascii="宋体" w:hAnsi="宋体"/>
          <w:szCs w:val="21"/>
        </w:rPr>
        <w:t>受到损害的，应当自知道或者应当知道其权益受到损害之日起七个工作日内向医院</w:t>
      </w:r>
      <w:r>
        <w:rPr>
          <w:rFonts w:ascii="宋体" w:hAnsi="宋体"/>
          <w:szCs w:val="21"/>
        </w:rPr>
        <w:t>采购机构</w:t>
      </w:r>
      <w:r>
        <w:rPr>
          <w:rFonts w:hint="eastAsia" w:ascii="宋体" w:hAnsi="宋体"/>
          <w:szCs w:val="21"/>
        </w:rPr>
        <w:t>以书面形式提出质疑。</w:t>
      </w:r>
    </w:p>
    <w:p>
      <w:pPr>
        <w:ind w:firstLine="411" w:firstLineChars="196"/>
        <w:rPr>
          <w:rFonts w:ascii="宋体" w:hAnsi="宋体"/>
          <w:szCs w:val="21"/>
        </w:rPr>
      </w:pPr>
      <w:r>
        <w:rPr>
          <w:rFonts w:hint="eastAsia" w:ascii="宋体" w:hAnsi="宋体"/>
          <w:szCs w:val="21"/>
        </w:rPr>
        <w:t>51.2法律依据</w:t>
      </w:r>
    </w:p>
    <w:p>
      <w:pPr>
        <w:ind w:firstLine="411" w:firstLineChars="196"/>
        <w:rPr>
          <w:rFonts w:ascii="宋体" w:hAnsi="宋体"/>
          <w:szCs w:val="21"/>
        </w:rPr>
      </w:pPr>
      <w:r>
        <w:rPr>
          <w:rFonts w:hint="eastAsia" w:ascii="宋体" w:hAnsi="宋体"/>
          <w:szCs w:val="21"/>
        </w:rPr>
        <w:t>《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411" w:firstLineChars="196"/>
        <w:rPr>
          <w:rFonts w:ascii="宋体" w:hAnsi="宋体"/>
          <w:szCs w:val="21"/>
        </w:rPr>
      </w:pPr>
      <w:r>
        <w:rPr>
          <w:rFonts w:hint="eastAsia" w:ascii="宋体" w:hAnsi="宋体"/>
          <w:szCs w:val="21"/>
        </w:rPr>
        <w:t>51.3质疑条件</w:t>
      </w:r>
    </w:p>
    <w:p>
      <w:pPr>
        <w:ind w:firstLine="411" w:firstLineChars="196"/>
        <w:rPr>
          <w:rFonts w:ascii="宋体" w:hAnsi="宋体"/>
          <w:szCs w:val="21"/>
        </w:rPr>
      </w:pPr>
      <w:r>
        <w:rPr>
          <w:rFonts w:hint="eastAsia" w:ascii="宋体" w:hAnsi="宋体"/>
          <w:szCs w:val="21"/>
        </w:rPr>
        <w:t>51.3.1提出质疑的供应商应当是参与所质疑项目采购活动的供应商；</w:t>
      </w:r>
    </w:p>
    <w:p>
      <w:pPr>
        <w:ind w:firstLine="411" w:firstLineChars="196"/>
        <w:rPr>
          <w:rFonts w:ascii="宋体" w:hAnsi="宋体"/>
          <w:szCs w:val="21"/>
        </w:rPr>
      </w:pPr>
      <w:r>
        <w:rPr>
          <w:rFonts w:hint="eastAsia" w:ascii="宋体" w:hAnsi="宋体"/>
          <w:szCs w:val="21"/>
        </w:rPr>
        <w:t>51.3.2应当在法定质疑期内一次性提出针对同一采购程序环节的质疑，法定质疑期为自知道或应当知道权益受到损害之日起7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pPr>
        <w:ind w:firstLine="411" w:firstLineChars="196"/>
        <w:rPr>
          <w:rFonts w:ascii="宋体" w:hAnsi="宋体"/>
          <w:szCs w:val="21"/>
        </w:rPr>
      </w:pPr>
      <w:r>
        <w:rPr>
          <w:rFonts w:hint="eastAsia" w:ascii="宋体" w:hAnsi="宋体"/>
          <w:szCs w:val="21"/>
        </w:rPr>
        <w:t>51.3.3应提交书面质疑函，质疑函应当包括以下内容：（1）具体、明确的质疑事项和与质疑事项相关的请求；（2）合理的事实和依据；（3）必要的证明材料和法律依据。</w:t>
      </w:r>
    </w:p>
    <w:p>
      <w:pPr>
        <w:ind w:firstLine="420"/>
        <w:rPr>
          <w:rFonts w:ascii="宋体" w:hAnsi="宋体"/>
          <w:szCs w:val="21"/>
        </w:rPr>
      </w:pPr>
      <w:r>
        <w:rPr>
          <w:rFonts w:ascii="宋体" w:hAnsi="宋体"/>
          <w:szCs w:val="21"/>
        </w:rPr>
        <w:t>51.4</w:t>
      </w:r>
      <w:r>
        <w:rPr>
          <w:rFonts w:hint="eastAsia" w:ascii="宋体" w:hAnsi="宋体"/>
          <w:szCs w:val="21"/>
        </w:rPr>
        <w:t>提交材料</w:t>
      </w:r>
    </w:p>
    <w:p>
      <w:pPr>
        <w:ind w:firstLine="420"/>
        <w:rPr>
          <w:rFonts w:ascii="宋体" w:hAnsi="宋体"/>
          <w:szCs w:val="21"/>
        </w:rPr>
      </w:pPr>
      <w:r>
        <w:rPr>
          <w:rFonts w:hint="eastAsia" w:ascii="宋体" w:hAnsi="宋体"/>
          <w:szCs w:val="21"/>
        </w:rPr>
        <w:t>质疑函、营业执照复印件、法定代表人证明。如委托代理人提交的，还需提交授权委托书及代理人身份证明。</w:t>
      </w:r>
    </w:p>
    <w:p>
      <w:pPr>
        <w:ind w:firstLine="420"/>
        <w:rPr>
          <w:rFonts w:ascii="宋体" w:hAnsi="宋体"/>
          <w:szCs w:val="21"/>
        </w:rPr>
      </w:pPr>
      <w:r>
        <w:rPr>
          <w:rFonts w:hint="eastAsia" w:ascii="宋体" w:hAnsi="宋体"/>
          <w:szCs w:val="21"/>
        </w:rPr>
        <w:t>51.5 收文部门</w:t>
      </w:r>
    </w:p>
    <w:p>
      <w:pPr>
        <w:ind w:firstLine="420"/>
        <w:rPr>
          <w:rFonts w:ascii="宋体" w:hAnsi="宋体"/>
          <w:szCs w:val="21"/>
        </w:rPr>
      </w:pPr>
      <w:r>
        <w:rPr>
          <w:rFonts w:hint="eastAsia" w:ascii="宋体" w:hAnsi="宋体"/>
          <w:szCs w:val="21"/>
        </w:rPr>
        <w:t>深圳大学总医院招投标管理办公室，地址</w:t>
      </w:r>
      <w:r>
        <w:rPr>
          <w:rFonts w:ascii="宋体" w:hAnsi="宋体"/>
          <w:szCs w:val="21"/>
        </w:rPr>
        <w:t>：深圳市</w:t>
      </w:r>
      <w:r>
        <w:rPr>
          <w:rFonts w:hint="eastAsia" w:ascii="宋体" w:hAnsi="宋体"/>
          <w:szCs w:val="21"/>
        </w:rPr>
        <w:t>深圳市西丽大学城学苑大道1098号 深圳大学总医院教学楼一楼招投标管理办公室</w:t>
      </w:r>
      <w:r>
        <w:rPr>
          <w:rFonts w:ascii="宋体" w:hAnsi="宋体"/>
          <w:szCs w:val="21"/>
        </w:rPr>
        <w:t>，</w:t>
      </w:r>
      <w:r>
        <w:rPr>
          <w:rFonts w:hint="eastAsia" w:ascii="宋体" w:hAnsi="宋体"/>
          <w:szCs w:val="21"/>
        </w:rPr>
        <w:t>质疑咨询电话：0755-21839923。</w:t>
      </w:r>
    </w:p>
    <w:p>
      <w:pPr>
        <w:ind w:firstLine="420"/>
        <w:rPr>
          <w:rFonts w:ascii="宋体" w:hAnsi="宋体"/>
          <w:szCs w:val="21"/>
        </w:rPr>
      </w:pPr>
      <w:r>
        <w:rPr>
          <w:rFonts w:hint="eastAsia" w:ascii="宋体" w:hAnsi="宋体"/>
          <w:szCs w:val="21"/>
        </w:rPr>
        <w:t>51.6收文办理程序</w:t>
      </w:r>
    </w:p>
    <w:p>
      <w:pPr>
        <w:ind w:firstLine="420"/>
        <w:rPr>
          <w:rFonts w:ascii="宋体" w:hAnsi="宋体"/>
          <w:szCs w:val="21"/>
        </w:rPr>
      </w:pPr>
      <w:r>
        <w:rPr>
          <w:rFonts w:hint="eastAsia" w:ascii="宋体" w:hAnsi="宋体"/>
          <w:szCs w:val="21"/>
        </w:rPr>
        <w:t>51.6.1供应商提交的质疑材料符合质疑条件的办理收文，出具收文回执；</w:t>
      </w:r>
    </w:p>
    <w:p>
      <w:pPr>
        <w:ind w:firstLine="420"/>
        <w:rPr>
          <w:rFonts w:ascii="宋体" w:hAnsi="宋体"/>
          <w:szCs w:val="21"/>
        </w:rPr>
      </w:pPr>
      <w:r>
        <w:rPr>
          <w:rFonts w:hint="eastAsia" w:ascii="宋体" w:hAnsi="宋体"/>
          <w:szCs w:val="21"/>
        </w:rPr>
        <w:t>51.6.2供应商提交的质疑材料不符合质疑条件的，视情况处理：（1）质疑主体、时限不符合的，不予收文；（2）质疑函内容、提交人身份证明不符合的，开具补正告知书，供应商可在质疑期内补正后重新提交。</w:t>
      </w:r>
    </w:p>
    <w:p>
      <w:pPr>
        <w:ind w:firstLine="420"/>
        <w:rPr>
          <w:rFonts w:ascii="宋体" w:hAnsi="宋体"/>
          <w:szCs w:val="21"/>
        </w:rPr>
      </w:pPr>
      <w:r>
        <w:rPr>
          <w:rFonts w:hint="eastAsia" w:ascii="宋体" w:hAnsi="宋体"/>
          <w:szCs w:val="21"/>
        </w:rPr>
        <w:t>51.7质疑答复时限</w:t>
      </w:r>
    </w:p>
    <w:p>
      <w:pPr>
        <w:ind w:firstLine="420"/>
        <w:rPr>
          <w:rFonts w:ascii="宋体" w:hAnsi="宋体"/>
          <w:szCs w:val="21"/>
        </w:rPr>
      </w:pPr>
      <w:r>
        <w:rPr>
          <w:rFonts w:hint="eastAsia" w:ascii="宋体" w:hAnsi="宋体"/>
          <w:szCs w:val="21"/>
        </w:rPr>
        <w:t>自收文之日起七个工作日内。</w:t>
      </w:r>
    </w:p>
    <w:p>
      <w:pPr>
        <w:ind w:firstLine="420"/>
        <w:rPr>
          <w:rFonts w:ascii="宋体" w:hAnsi="宋体"/>
          <w:szCs w:val="21"/>
        </w:rPr>
      </w:pPr>
      <w:r>
        <w:rPr>
          <w:rFonts w:hint="eastAsia" w:ascii="宋体" w:hAnsi="宋体"/>
          <w:szCs w:val="21"/>
        </w:rPr>
        <w:t>51.8投诉</w:t>
      </w:r>
    </w:p>
    <w:p>
      <w:pPr>
        <w:ind w:firstLine="420"/>
        <w:rPr>
          <w:rFonts w:ascii="宋体" w:hAnsi="宋体"/>
          <w:szCs w:val="21"/>
        </w:rPr>
      </w:pPr>
      <w:r>
        <w:rPr>
          <w:rFonts w:hint="eastAsia" w:ascii="宋体" w:hAnsi="宋体"/>
          <w:szCs w:val="21"/>
        </w:rPr>
        <w:t>对质疑答复不满意或者未在规定时间内答复的，提出质疑的供应商可以在答复期满后15个工作日内向深圳大学总医院</w:t>
      </w:r>
      <w:r>
        <w:rPr>
          <w:rFonts w:ascii="宋体" w:hAnsi="宋体"/>
          <w:szCs w:val="21"/>
        </w:rPr>
        <w:t>纪检、</w:t>
      </w:r>
      <w:r>
        <w:rPr>
          <w:rFonts w:hint="eastAsia" w:ascii="宋体" w:hAnsi="宋体"/>
          <w:szCs w:val="21"/>
        </w:rPr>
        <w:t>监察</w:t>
      </w:r>
      <w:r>
        <w:rPr>
          <w:rFonts w:ascii="宋体" w:hAnsi="宋体"/>
          <w:szCs w:val="21"/>
        </w:rPr>
        <w:t>部门</w:t>
      </w:r>
      <w:r>
        <w:rPr>
          <w:rFonts w:hint="eastAsia" w:ascii="宋体" w:hAnsi="宋体"/>
          <w:szCs w:val="21"/>
        </w:rPr>
        <w:t>投诉。</w:t>
      </w:r>
    </w:p>
    <w:p>
      <w:pPr>
        <w:spacing w:line="360" w:lineRule="auto"/>
        <w:rPr>
          <w:rFonts w:ascii="黑体" w:hAnsi="宋体" w:eastAsia="黑体"/>
          <w:sz w:val="24"/>
        </w:rPr>
      </w:pPr>
      <w:r>
        <w:rPr>
          <w:rFonts w:hint="eastAsia" w:ascii="黑体" w:hAnsi="宋体" w:eastAsia="黑体"/>
          <w:sz w:val="24"/>
        </w:rPr>
        <w:t>52.质疑后续处理</w:t>
      </w:r>
    </w:p>
    <w:p>
      <w:pPr>
        <w:ind w:firstLine="411" w:firstLineChars="196"/>
        <w:rPr>
          <w:rFonts w:ascii="宋体" w:hAnsi="宋体"/>
          <w:szCs w:val="21"/>
        </w:rPr>
      </w:pPr>
      <w:r>
        <w:rPr>
          <w:rFonts w:hint="eastAsia" w:ascii="宋体" w:hAnsi="宋体"/>
          <w:szCs w:val="21"/>
        </w:rPr>
        <w:t>52.1供应商质疑不成立，或者成立但未对中标、成交结果构成影响的，继续开展采购活动。</w:t>
      </w:r>
    </w:p>
    <w:p>
      <w:pPr>
        <w:ind w:firstLine="411" w:firstLineChars="196"/>
        <w:rPr>
          <w:rFonts w:ascii="宋体" w:hAnsi="宋体"/>
          <w:szCs w:val="21"/>
        </w:rPr>
      </w:pPr>
      <w:r>
        <w:rPr>
          <w:rFonts w:hint="eastAsia" w:ascii="宋体" w:hAnsi="宋体"/>
          <w:szCs w:val="21"/>
        </w:rPr>
        <w:t>52.2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如果合格供应商符合法定数量，依法从合格的中标或者成交候选人中另行确定中标、成交供应商；如果合格供应商不符合法定数量，应当重新开展采购活动。</w:t>
      </w:r>
    </w:p>
    <w:p>
      <w:pPr>
        <w:spacing w:line="240" w:lineRule="atLeast"/>
        <w:rPr>
          <w:rFonts w:ascii="宋体" w:hAnsi="宋体"/>
          <w:szCs w:val="21"/>
        </w:rPr>
      </w:pPr>
    </w:p>
    <w:p>
      <w:pPr>
        <w:jc w:val="center"/>
        <w:rPr>
          <w:rFonts w:ascii="宋体" w:hAnsi="宋体"/>
          <w:color w:val="FF0000"/>
          <w:szCs w:val="21"/>
        </w:rPr>
      </w:pPr>
    </w:p>
    <w:p/>
    <w:p>
      <w:pPr>
        <w:ind w:firstLine="411" w:firstLineChars="196"/>
        <w:rPr>
          <w:rFonts w:ascii="宋体" w:hAnsi="宋体"/>
          <w:szCs w:val="21"/>
        </w:rPr>
      </w:pPr>
    </w:p>
    <w:sectPr>
      <w:headerReference r:id="rId4" w:type="first"/>
      <w:headerReference r:id="rId3" w:type="default"/>
      <w:footerReference r:id="rId5" w:type="default"/>
      <w:footerReference r:id="rId6" w:type="even"/>
      <w:pgSz w:w="11907" w:h="16840"/>
      <w:pgMar w:top="1440" w:right="1797" w:bottom="1440" w:left="1797" w:header="851" w:footer="992" w:gutter="0"/>
      <w:cols w:space="425"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文鼎CS书宋二">
    <w:altName w:val="宋体"/>
    <w:panose1 w:val="00000000000000000000"/>
    <w:charset w:val="86"/>
    <w:family w:val="modern"/>
    <w:pitch w:val="default"/>
    <w:sig w:usb0="00000000" w:usb1="00000000" w:usb2="00000010" w:usb3="00000000" w:csb0="00040000" w:csb1="00000000"/>
  </w:font>
  <w:font w:name="创艺简黑体">
    <w:altName w:val="黑体"/>
    <w:panose1 w:val="00000000000000000000"/>
    <w:charset w:val="86"/>
    <w:family w:val="auto"/>
    <w:pitch w:val="default"/>
    <w:sig w:usb0="00000000" w:usb1="00000000" w:usb2="00000010" w:usb3="00000000" w:csb0="00040000" w:csb1="00000000"/>
  </w:font>
  <w:font w:name="文鼎CS大宋">
    <w:altName w:val="宋体"/>
    <w:panose1 w:val="00000000000000000000"/>
    <w:charset w:val="86"/>
    <w:family w:val="modern"/>
    <w:pitch w:val="default"/>
    <w:sig w:usb0="00000000" w:usb1="00000000" w:usb2="00000010" w:usb3="00000000" w:csb0="00040000" w:csb1="00000000"/>
  </w:font>
  <w:font w:name="文鼎CS长美黑">
    <w:altName w:val="宋体"/>
    <w:panose1 w:val="00000000000000000000"/>
    <w:charset w:val="86"/>
    <w:family w:val="modern"/>
    <w:pitch w:val="default"/>
    <w:sig w:usb0="00000000" w:usb1="00000000" w:usb2="00000010" w:usb3="00000000" w:csb0="00040000" w:csb1="00000000"/>
  </w:font>
  <w:font w:name="文鼎中楷">
    <w:altName w:val="仿宋"/>
    <w:panose1 w:val="00000000000000000000"/>
    <w:charset w:val="86"/>
    <w:family w:val="modern"/>
    <w:pitch w:val="default"/>
    <w:sig w:usb0="00000000" w:usb1="00000000" w:usb2="00000010" w:usb3="00000000" w:csb0="00040000" w:csb1="00000000"/>
  </w:font>
  <w:font w:name="Tunga">
    <w:altName w:val="Segoe Print"/>
    <w:panose1 w:val="000004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0"/>
      </w:rPr>
    </w:pPr>
    <w:r>
      <w:t xml:space="preserve">- </w:t>
    </w:r>
    <w:r>
      <w:fldChar w:fldCharType="begin"/>
    </w:r>
    <w:r>
      <w:instrText xml:space="preserve"> PAGE </w:instrText>
    </w:r>
    <w:r>
      <w:fldChar w:fldCharType="separate"/>
    </w:r>
    <w:r>
      <w:t>11</w:t>
    </w:r>
    <w:r>
      <w:fldChar w:fldCharType="end"/>
    </w:r>
    <w:r>
      <w:t xml:space="preserve"> -</w:t>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0"/>
      </w:rPr>
    </w:pPr>
    <w:r>
      <w:rPr>
        <w:rStyle w:val="60"/>
      </w:rPr>
      <w:fldChar w:fldCharType="begin"/>
    </w:r>
    <w:r>
      <w:rPr>
        <w:rStyle w:val="60"/>
      </w:rPr>
      <w:instrText xml:space="preserve">PAGE  </w:instrText>
    </w:r>
    <w:r>
      <w:rPr>
        <w:rStyle w:val="60"/>
      </w:rPr>
      <w:fldChar w:fldCharType="separate"/>
    </w:r>
    <w:r>
      <w:rPr>
        <w:rStyle w:val="60"/>
      </w:rPr>
      <w:t>17</w:t>
    </w:r>
    <w:r>
      <w:rPr>
        <w:rStyle w:val="60"/>
      </w:rP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right"/>
    </w:pPr>
    <w:r>
      <w:rPr>
        <w:rFonts w:hint="eastAsia"/>
      </w:rPr>
      <w:t xml:space="preserve">深圳大学总医院招投标管理办公室招标文件　　　　　　　　　　　　　　　　　　 </w:t>
    </w:r>
    <w:r>
      <w:t xml:space="preserve">      </w:t>
    </w:r>
    <w:r>
      <w:rPr>
        <w:rFonts w:hint="eastAsia"/>
      </w:rPr>
      <w:t>SUGHCG2020034EQ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pPr>
    <w:r>
      <w:rPr>
        <w:rFonts w:hint="eastAsia"/>
      </w:rPr>
      <w:t>深圳大学总医院招投标管理办公室招标文件　　　　　　　　　　　　　　　　　        　SUGHCG2020034EQ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72"/>
      <w:lvlText w:val="%1."/>
      <w:lvlJc w:val="left"/>
      <w:pPr>
        <w:tabs>
          <w:tab w:val="left" w:pos="2040"/>
        </w:tabs>
        <w:ind w:left="2040" w:leftChars="800" w:hanging="360" w:hangingChars="200"/>
      </w:pPr>
    </w:lvl>
  </w:abstractNum>
  <w:abstractNum w:abstractNumId="1">
    <w:nsid w:val="FFFFFF89"/>
    <w:multiLevelType w:val="singleLevel"/>
    <w:tmpl w:val="FFFFFF89"/>
    <w:lvl w:ilvl="0" w:tentative="0">
      <w:start w:val="1"/>
      <w:numFmt w:val="bullet"/>
      <w:pStyle w:val="16"/>
      <w:lvlText w:val=""/>
      <w:lvlJc w:val="left"/>
      <w:pPr>
        <w:tabs>
          <w:tab w:val="left" w:pos="360"/>
        </w:tabs>
        <w:ind w:left="360" w:hanging="360" w:hangingChars="200"/>
      </w:pPr>
      <w:rPr>
        <w:rFonts w:hint="default" w:ascii="Wingdings" w:hAnsi="Wingdings"/>
      </w:rPr>
    </w:lvl>
  </w:abstractNum>
  <w:abstractNum w:abstractNumId="2">
    <w:nsid w:val="09F81FD3"/>
    <w:multiLevelType w:val="multilevel"/>
    <w:tmpl w:val="09F81FD3"/>
    <w:lvl w:ilvl="0" w:tentative="0">
      <w:start w:val="1"/>
      <w:numFmt w:val="japaneseCounting"/>
      <w:lvlText w:val="第%1章"/>
      <w:lvlJc w:val="left"/>
      <w:pPr>
        <w:tabs>
          <w:tab w:val="left" w:pos="3960"/>
        </w:tabs>
        <w:ind w:left="3960" w:hanging="720"/>
      </w:pPr>
      <w:rPr>
        <w:rFonts w:hint="default"/>
      </w:rPr>
    </w:lvl>
    <w:lvl w:ilvl="1" w:tentative="0">
      <w:start w:val="1"/>
      <w:numFmt w:val="lowerLetter"/>
      <w:lvlText w:val="%2)"/>
      <w:lvlJc w:val="left"/>
      <w:pPr>
        <w:tabs>
          <w:tab w:val="left" w:pos="4080"/>
        </w:tabs>
        <w:ind w:left="4080" w:hanging="420"/>
      </w:pPr>
    </w:lvl>
    <w:lvl w:ilvl="2" w:tentative="0">
      <w:start w:val="1"/>
      <w:numFmt w:val="lowerRoman"/>
      <w:lvlText w:val="%3."/>
      <w:lvlJc w:val="right"/>
      <w:pPr>
        <w:tabs>
          <w:tab w:val="left" w:pos="4500"/>
        </w:tabs>
        <w:ind w:left="4500" w:hanging="420"/>
      </w:pPr>
    </w:lvl>
    <w:lvl w:ilvl="3" w:tentative="0">
      <w:start w:val="1"/>
      <w:numFmt w:val="decimal"/>
      <w:lvlText w:val="%4."/>
      <w:lvlJc w:val="left"/>
      <w:pPr>
        <w:tabs>
          <w:tab w:val="left" w:pos="4920"/>
        </w:tabs>
        <w:ind w:left="4920" w:hanging="420"/>
      </w:pPr>
    </w:lvl>
    <w:lvl w:ilvl="4" w:tentative="0">
      <w:start w:val="1"/>
      <w:numFmt w:val="lowerLetter"/>
      <w:lvlText w:val="%5)"/>
      <w:lvlJc w:val="left"/>
      <w:pPr>
        <w:tabs>
          <w:tab w:val="left" w:pos="5340"/>
        </w:tabs>
        <w:ind w:left="5340" w:hanging="420"/>
      </w:pPr>
    </w:lvl>
    <w:lvl w:ilvl="5" w:tentative="0">
      <w:start w:val="1"/>
      <w:numFmt w:val="lowerRoman"/>
      <w:lvlText w:val="%6."/>
      <w:lvlJc w:val="right"/>
      <w:pPr>
        <w:tabs>
          <w:tab w:val="left" w:pos="5760"/>
        </w:tabs>
        <w:ind w:left="5760" w:hanging="420"/>
      </w:pPr>
    </w:lvl>
    <w:lvl w:ilvl="6" w:tentative="0">
      <w:start w:val="1"/>
      <w:numFmt w:val="decimal"/>
      <w:lvlText w:val="%7."/>
      <w:lvlJc w:val="left"/>
      <w:pPr>
        <w:tabs>
          <w:tab w:val="left" w:pos="6180"/>
        </w:tabs>
        <w:ind w:left="6180" w:hanging="420"/>
      </w:pPr>
    </w:lvl>
    <w:lvl w:ilvl="7" w:tentative="0">
      <w:start w:val="1"/>
      <w:numFmt w:val="lowerLetter"/>
      <w:lvlText w:val="%8)"/>
      <w:lvlJc w:val="left"/>
      <w:pPr>
        <w:tabs>
          <w:tab w:val="left" w:pos="6600"/>
        </w:tabs>
        <w:ind w:left="6600" w:hanging="420"/>
      </w:pPr>
    </w:lvl>
    <w:lvl w:ilvl="8" w:tentative="0">
      <w:start w:val="1"/>
      <w:numFmt w:val="lowerRoman"/>
      <w:lvlText w:val="%9."/>
      <w:lvlJc w:val="right"/>
      <w:pPr>
        <w:tabs>
          <w:tab w:val="left" w:pos="7020"/>
        </w:tabs>
        <w:ind w:left="7020" w:hanging="420"/>
      </w:pPr>
    </w:lvl>
  </w:abstractNum>
  <w:abstractNum w:abstractNumId="3">
    <w:nsid w:val="3AE1101E"/>
    <w:multiLevelType w:val="multilevel"/>
    <w:tmpl w:val="3AE1101E"/>
    <w:lvl w:ilvl="0" w:tentative="0">
      <w:start w:val="1"/>
      <w:numFmt w:val="decimal"/>
      <w:lvlText w:val="%1."/>
      <w:lvlJc w:val="left"/>
      <w:pPr>
        <w:tabs>
          <w:tab w:val="left" w:pos="567"/>
        </w:tabs>
        <w:ind w:left="567" w:hanging="113"/>
      </w:pPr>
      <w:rPr>
        <w:rFonts w:hint="eastAsia"/>
      </w:rPr>
    </w:lvl>
    <w:lvl w:ilvl="1" w:tentative="0">
      <w:start w:val="1"/>
      <w:numFmt w:val="decimal"/>
      <w:suff w:val="space"/>
      <w:lvlText w:val="%1.%2"/>
      <w:lvlJc w:val="left"/>
      <w:pPr>
        <w:ind w:left="0" w:firstLine="454"/>
      </w:pPr>
      <w:rPr>
        <w:rFonts w:hint="eastAsia"/>
      </w:rPr>
    </w:lvl>
    <w:lvl w:ilvl="2" w:tentative="0">
      <w:start w:val="1"/>
      <w:numFmt w:val="lowerLetter"/>
      <w:suff w:val="space"/>
      <w:lvlText w:val="(%3) "/>
      <w:lvlJc w:val="left"/>
      <w:pPr>
        <w:ind w:left="851" w:hanging="397"/>
      </w:pPr>
      <w:rPr>
        <w:rFonts w:hint="eastAsia"/>
      </w:rPr>
    </w:lvl>
    <w:lvl w:ilvl="3" w:tentative="0">
      <w:start w:val="1"/>
      <w:numFmt w:val="decimal"/>
      <w:suff w:val="space"/>
      <w:lvlText w:val="(%4) "/>
      <w:lvlJc w:val="left"/>
      <w:pPr>
        <w:ind w:left="851" w:hanging="39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45882EC0"/>
    <w:multiLevelType w:val="multilevel"/>
    <w:tmpl w:val="45882E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56D5F"/>
    <w:multiLevelType w:val="multilevel"/>
    <w:tmpl w:val="49656D5F"/>
    <w:lvl w:ilvl="0" w:tentative="0">
      <w:start w:val="1"/>
      <w:numFmt w:val="decimal"/>
      <w:lvlText w:val="第%1条"/>
      <w:lvlJc w:val="left"/>
      <w:pPr>
        <w:tabs>
          <w:tab w:val="left" w:pos="1041"/>
        </w:tabs>
        <w:ind w:left="1041" w:hanging="750"/>
      </w:pPr>
      <w:rPr>
        <w:b/>
        <w:lang w:val="en-US"/>
      </w:rPr>
    </w:lvl>
    <w:lvl w:ilvl="1" w:tentative="0">
      <w:start w:val="1"/>
      <w:numFmt w:val="bullet"/>
      <w:lvlText w:val=""/>
      <w:lvlJc w:val="left"/>
      <w:pPr>
        <w:tabs>
          <w:tab w:val="left" w:pos="1131"/>
        </w:tabs>
        <w:ind w:left="1131" w:hanging="420"/>
      </w:pPr>
      <w:rPr>
        <w:rFonts w:hint="default" w:ascii="Wingdings" w:hAnsi="Wingdings"/>
        <w:b/>
        <w:lang w:val="en-US"/>
      </w:rPr>
    </w:lvl>
    <w:lvl w:ilvl="2" w:tentative="0">
      <w:start w:val="1"/>
      <w:numFmt w:val="lowerRoman"/>
      <w:lvlText w:val="%3."/>
      <w:lvlJc w:val="right"/>
      <w:pPr>
        <w:tabs>
          <w:tab w:val="left" w:pos="1551"/>
        </w:tabs>
        <w:ind w:left="1551" w:hanging="420"/>
      </w:pPr>
    </w:lvl>
    <w:lvl w:ilvl="3" w:tentative="0">
      <w:start w:val="1"/>
      <w:numFmt w:val="decimal"/>
      <w:lvlText w:val="%4、"/>
      <w:lvlJc w:val="left"/>
      <w:pPr>
        <w:tabs>
          <w:tab w:val="left" w:pos="1011"/>
        </w:tabs>
        <w:ind w:left="1011" w:hanging="360"/>
      </w:pPr>
    </w:lvl>
    <w:lvl w:ilvl="4" w:tentative="0">
      <w:start w:val="1"/>
      <w:numFmt w:val="lowerLetter"/>
      <w:lvlText w:val="%5)"/>
      <w:lvlJc w:val="left"/>
      <w:pPr>
        <w:tabs>
          <w:tab w:val="left" w:pos="2391"/>
        </w:tabs>
        <w:ind w:left="2391" w:hanging="420"/>
      </w:pPr>
    </w:lvl>
    <w:lvl w:ilvl="5" w:tentative="0">
      <w:start w:val="1"/>
      <w:numFmt w:val="lowerRoman"/>
      <w:lvlText w:val="%6."/>
      <w:lvlJc w:val="right"/>
      <w:pPr>
        <w:tabs>
          <w:tab w:val="left" w:pos="2811"/>
        </w:tabs>
        <w:ind w:left="2811" w:hanging="420"/>
      </w:pPr>
    </w:lvl>
    <w:lvl w:ilvl="6" w:tentative="0">
      <w:start w:val="1"/>
      <w:numFmt w:val="decimal"/>
      <w:lvlText w:val="%7."/>
      <w:lvlJc w:val="left"/>
      <w:pPr>
        <w:tabs>
          <w:tab w:val="left" w:pos="3231"/>
        </w:tabs>
        <w:ind w:left="3231" w:hanging="420"/>
      </w:pPr>
    </w:lvl>
    <w:lvl w:ilvl="7" w:tentative="0">
      <w:start w:val="1"/>
      <w:numFmt w:val="lowerLetter"/>
      <w:lvlText w:val="%8)"/>
      <w:lvlJc w:val="left"/>
      <w:pPr>
        <w:tabs>
          <w:tab w:val="left" w:pos="3651"/>
        </w:tabs>
        <w:ind w:left="3651" w:hanging="420"/>
      </w:pPr>
    </w:lvl>
    <w:lvl w:ilvl="8" w:tentative="0">
      <w:start w:val="1"/>
      <w:numFmt w:val="lowerRoman"/>
      <w:lvlText w:val="%9."/>
      <w:lvlJc w:val="right"/>
      <w:pPr>
        <w:tabs>
          <w:tab w:val="left" w:pos="4071"/>
        </w:tabs>
        <w:ind w:left="4071" w:hanging="420"/>
      </w:pPr>
    </w:lvl>
  </w:abstractNum>
  <w:num w:numId="1">
    <w:abstractNumId w:val="1"/>
  </w:num>
  <w:num w:numId="2">
    <w:abstractNumId w:val="0"/>
  </w:num>
  <w:num w:numId="3">
    <w:abstractNumId w:val="3"/>
    <w:lvlOverride w:ilvl="0">
      <w:lvl w:ilvl="0" w:tentative="1">
        <w:start w:val="1"/>
        <w:numFmt w:val="decimal"/>
        <w:pStyle w:val="140"/>
        <w:suff w:val="space"/>
        <w:lvlText w:val="%1."/>
        <w:lvlJc w:val="left"/>
        <w:pPr>
          <w:ind w:left="833" w:hanging="113"/>
        </w:pPr>
        <w:rPr>
          <w:rFonts w:hint="eastAsia" w:ascii="Times New Roman" w:hAnsi="Times New Roman" w:eastAsia="宋体"/>
          <w:b/>
          <w:bCs/>
          <w:i w:val="0"/>
          <w:iCs w:val="0"/>
          <w:caps w:val="0"/>
          <w:smallCaps w:val="0"/>
          <w:strike w:val="0"/>
          <w:dstrike w:val="0"/>
          <w:outline w:val="0"/>
          <w:shadow w:val="0"/>
          <w:emboss w:val="0"/>
          <w:imprint w:val="0"/>
          <w:color w:val="auto"/>
          <w:spacing w:val="0"/>
          <w:w w:val="100"/>
          <w:kern w:val="2"/>
          <w:position w:val="0"/>
          <w:sz w:val="24"/>
          <w:u w:val="none"/>
        </w:rPr>
      </w:lvl>
    </w:lvlOverride>
    <w:lvlOverride w:ilvl="1">
      <w:lvl w:ilvl="1" w:tentative="1">
        <w:start w:val="1"/>
        <w:numFmt w:val="decimal"/>
        <w:pStyle w:val="141"/>
        <w:suff w:val="space"/>
        <w:lvlText w:val="%1.%2"/>
        <w:lvlJc w:val="left"/>
        <w:pPr>
          <w:ind w:left="653" w:hanging="113"/>
        </w:pPr>
        <w:rPr>
          <w:rFonts w:hint="default" w:ascii="Times New Roman" w:hAnsi="Times New Roman" w:cs="Times New Roman"/>
          <w:b w:val="0"/>
        </w:rPr>
      </w:lvl>
    </w:lvlOverride>
    <w:lvlOverride w:ilvl="2">
      <w:lvl w:ilvl="2" w:tentative="1">
        <w:start w:val="1"/>
        <w:numFmt w:val="lowerLetter"/>
        <w:pStyle w:val="142"/>
        <w:suff w:val="space"/>
        <w:lvlText w:val="(%3) "/>
        <w:lvlJc w:val="left"/>
        <w:pPr>
          <w:ind w:left="679" w:hanging="225"/>
        </w:pPr>
        <w:rPr>
          <w:rFonts w:hint="eastAsia"/>
        </w:rPr>
      </w:lvl>
    </w:lvlOverride>
    <w:lvlOverride w:ilvl="3">
      <w:lvl w:ilvl="3" w:tentative="1">
        <w:start w:val="1"/>
        <w:numFmt w:val="decimal"/>
        <w:pStyle w:val="143"/>
        <w:suff w:val="space"/>
        <w:lvlText w:val="(%4) "/>
        <w:lvlJc w:val="left"/>
        <w:pPr>
          <w:ind w:left="765" w:hanging="397"/>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tentative="1">
        <w:start w:val="1"/>
        <w:numFmt w:val="decimal"/>
        <w:lvlText w:val="%1.%2.%3.%4.%5"/>
        <w:lvlJc w:val="left"/>
        <w:pPr>
          <w:tabs>
            <w:tab w:val="left" w:pos="2609"/>
          </w:tabs>
          <w:ind w:left="2379" w:hanging="850"/>
        </w:pPr>
        <w:rPr>
          <w:rFonts w:hint="eastAsia"/>
        </w:rPr>
      </w:lvl>
    </w:lvlOverride>
    <w:lvlOverride w:ilvl="5">
      <w:lvl w:ilvl="5" w:tentative="1">
        <w:start w:val="1"/>
        <w:numFmt w:val="decimal"/>
        <w:lvlText w:val="%1.%2.%3.%4.%5.%6"/>
        <w:lvlJc w:val="left"/>
        <w:pPr>
          <w:tabs>
            <w:tab w:val="left" w:pos="3394"/>
          </w:tabs>
          <w:ind w:left="3088" w:hanging="1134"/>
        </w:pPr>
        <w:rPr>
          <w:rFonts w:hint="eastAsia"/>
        </w:rPr>
      </w:lvl>
    </w:lvlOverride>
    <w:lvlOverride w:ilvl="6">
      <w:lvl w:ilvl="6" w:tentative="1">
        <w:start w:val="1"/>
        <w:numFmt w:val="decimal"/>
        <w:lvlText w:val="%1.%2.%3.%4.%5.%6.%7"/>
        <w:lvlJc w:val="left"/>
        <w:pPr>
          <w:tabs>
            <w:tab w:val="left" w:pos="4179"/>
          </w:tabs>
          <w:ind w:left="3655" w:hanging="1276"/>
        </w:pPr>
        <w:rPr>
          <w:rFonts w:hint="eastAsia"/>
        </w:rPr>
      </w:lvl>
    </w:lvlOverride>
    <w:lvlOverride w:ilvl="7">
      <w:lvl w:ilvl="7" w:tentative="1">
        <w:start w:val="1"/>
        <w:numFmt w:val="decimal"/>
        <w:lvlText w:val="%1.%2.%3.%4.%5.%6.%7.%8"/>
        <w:lvlJc w:val="left"/>
        <w:pPr>
          <w:tabs>
            <w:tab w:val="left" w:pos="4604"/>
          </w:tabs>
          <w:ind w:left="4222" w:hanging="1418"/>
        </w:pPr>
        <w:rPr>
          <w:rFonts w:hint="eastAsia"/>
        </w:rPr>
      </w:lvl>
    </w:lvlOverride>
    <w:lvlOverride w:ilvl="8">
      <w:lvl w:ilvl="8" w:tentative="1">
        <w:start w:val="1"/>
        <w:numFmt w:val="decimal"/>
        <w:lvlText w:val="%1.%2.%3.%4.%5.%6.%7.%8.%9"/>
        <w:lvlJc w:val="left"/>
        <w:pPr>
          <w:tabs>
            <w:tab w:val="left" w:pos="5390"/>
          </w:tabs>
          <w:ind w:left="4930" w:hanging="1700"/>
        </w:pPr>
        <w:rPr>
          <w:rFonts w:hint="eastAsia"/>
        </w:rPr>
      </w:lvl>
    </w:lvlOverride>
  </w:num>
  <w:num w:numId="4">
    <w:abstractNumId w:val="5"/>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3"/>
    <w:rsid w:val="00000941"/>
    <w:rsid w:val="00001AEA"/>
    <w:rsid w:val="00003CC2"/>
    <w:rsid w:val="00005215"/>
    <w:rsid w:val="00005A10"/>
    <w:rsid w:val="00005C57"/>
    <w:rsid w:val="00005F15"/>
    <w:rsid w:val="0000658F"/>
    <w:rsid w:val="00007FA9"/>
    <w:rsid w:val="00010102"/>
    <w:rsid w:val="00010AAF"/>
    <w:rsid w:val="00014445"/>
    <w:rsid w:val="0001474D"/>
    <w:rsid w:val="00014F58"/>
    <w:rsid w:val="00015E98"/>
    <w:rsid w:val="0001716B"/>
    <w:rsid w:val="00020A4A"/>
    <w:rsid w:val="00020D99"/>
    <w:rsid w:val="000211EA"/>
    <w:rsid w:val="0002320B"/>
    <w:rsid w:val="000234B2"/>
    <w:rsid w:val="0002382E"/>
    <w:rsid w:val="00024ACF"/>
    <w:rsid w:val="0003072D"/>
    <w:rsid w:val="00031700"/>
    <w:rsid w:val="00031CAA"/>
    <w:rsid w:val="00031F6E"/>
    <w:rsid w:val="00037048"/>
    <w:rsid w:val="0003713E"/>
    <w:rsid w:val="000377F6"/>
    <w:rsid w:val="00037C26"/>
    <w:rsid w:val="00040D3C"/>
    <w:rsid w:val="00043A89"/>
    <w:rsid w:val="00045282"/>
    <w:rsid w:val="00045739"/>
    <w:rsid w:val="00046D54"/>
    <w:rsid w:val="00047210"/>
    <w:rsid w:val="00047B02"/>
    <w:rsid w:val="00047EF6"/>
    <w:rsid w:val="000510B6"/>
    <w:rsid w:val="000516A4"/>
    <w:rsid w:val="00051940"/>
    <w:rsid w:val="00051F3F"/>
    <w:rsid w:val="00052BC1"/>
    <w:rsid w:val="00053715"/>
    <w:rsid w:val="000538BE"/>
    <w:rsid w:val="0005582B"/>
    <w:rsid w:val="00055C4B"/>
    <w:rsid w:val="00056419"/>
    <w:rsid w:val="00057332"/>
    <w:rsid w:val="000602D1"/>
    <w:rsid w:val="0006267A"/>
    <w:rsid w:val="0006297C"/>
    <w:rsid w:val="00063131"/>
    <w:rsid w:val="000638E3"/>
    <w:rsid w:val="0006670C"/>
    <w:rsid w:val="000668CA"/>
    <w:rsid w:val="00067CAD"/>
    <w:rsid w:val="00070519"/>
    <w:rsid w:val="00070736"/>
    <w:rsid w:val="000750DC"/>
    <w:rsid w:val="00077188"/>
    <w:rsid w:val="000774DC"/>
    <w:rsid w:val="00077CD3"/>
    <w:rsid w:val="00080D6E"/>
    <w:rsid w:val="0008124B"/>
    <w:rsid w:val="00082211"/>
    <w:rsid w:val="00082667"/>
    <w:rsid w:val="00083DC6"/>
    <w:rsid w:val="000848B0"/>
    <w:rsid w:val="00085089"/>
    <w:rsid w:val="000869D8"/>
    <w:rsid w:val="00087ABB"/>
    <w:rsid w:val="00092FC7"/>
    <w:rsid w:val="00095333"/>
    <w:rsid w:val="000954D5"/>
    <w:rsid w:val="0009618D"/>
    <w:rsid w:val="0009709B"/>
    <w:rsid w:val="000A21E9"/>
    <w:rsid w:val="000A3F6D"/>
    <w:rsid w:val="000A6571"/>
    <w:rsid w:val="000B05E2"/>
    <w:rsid w:val="000B2568"/>
    <w:rsid w:val="000B381C"/>
    <w:rsid w:val="000B395A"/>
    <w:rsid w:val="000B42B8"/>
    <w:rsid w:val="000B4591"/>
    <w:rsid w:val="000B4944"/>
    <w:rsid w:val="000B6961"/>
    <w:rsid w:val="000B6B59"/>
    <w:rsid w:val="000B7B54"/>
    <w:rsid w:val="000C0173"/>
    <w:rsid w:val="000C0460"/>
    <w:rsid w:val="000C1EE4"/>
    <w:rsid w:val="000C2446"/>
    <w:rsid w:val="000C3D9C"/>
    <w:rsid w:val="000C40CB"/>
    <w:rsid w:val="000C4425"/>
    <w:rsid w:val="000C4B96"/>
    <w:rsid w:val="000C5958"/>
    <w:rsid w:val="000C6FD0"/>
    <w:rsid w:val="000C70F7"/>
    <w:rsid w:val="000D1A7D"/>
    <w:rsid w:val="000D1ABF"/>
    <w:rsid w:val="000D2309"/>
    <w:rsid w:val="000D23F0"/>
    <w:rsid w:val="000D38F9"/>
    <w:rsid w:val="000D3D96"/>
    <w:rsid w:val="000D4CFC"/>
    <w:rsid w:val="000E0227"/>
    <w:rsid w:val="000E0B51"/>
    <w:rsid w:val="000E4690"/>
    <w:rsid w:val="000E4DE8"/>
    <w:rsid w:val="000E5B12"/>
    <w:rsid w:val="000E6596"/>
    <w:rsid w:val="000F2065"/>
    <w:rsid w:val="000F294F"/>
    <w:rsid w:val="000F2A88"/>
    <w:rsid w:val="000F2B98"/>
    <w:rsid w:val="000F2D1B"/>
    <w:rsid w:val="000F515E"/>
    <w:rsid w:val="000F565B"/>
    <w:rsid w:val="000F5F3F"/>
    <w:rsid w:val="00101DD0"/>
    <w:rsid w:val="00102555"/>
    <w:rsid w:val="001047E8"/>
    <w:rsid w:val="00104845"/>
    <w:rsid w:val="001075B1"/>
    <w:rsid w:val="001076CD"/>
    <w:rsid w:val="00107D54"/>
    <w:rsid w:val="0011099E"/>
    <w:rsid w:val="00111A14"/>
    <w:rsid w:val="0011225A"/>
    <w:rsid w:val="00115A55"/>
    <w:rsid w:val="001208AF"/>
    <w:rsid w:val="001212EF"/>
    <w:rsid w:val="001217DC"/>
    <w:rsid w:val="0012203F"/>
    <w:rsid w:val="00122A2A"/>
    <w:rsid w:val="00122EAA"/>
    <w:rsid w:val="00123CC6"/>
    <w:rsid w:val="00125C8A"/>
    <w:rsid w:val="00130808"/>
    <w:rsid w:val="00130827"/>
    <w:rsid w:val="001308A2"/>
    <w:rsid w:val="00132F55"/>
    <w:rsid w:val="001342FB"/>
    <w:rsid w:val="00134AF9"/>
    <w:rsid w:val="00134B47"/>
    <w:rsid w:val="00134D6D"/>
    <w:rsid w:val="00136675"/>
    <w:rsid w:val="0013675A"/>
    <w:rsid w:val="001408BD"/>
    <w:rsid w:val="00141C34"/>
    <w:rsid w:val="00141F37"/>
    <w:rsid w:val="00143653"/>
    <w:rsid w:val="00143B3A"/>
    <w:rsid w:val="001446E6"/>
    <w:rsid w:val="0014770B"/>
    <w:rsid w:val="00147B3F"/>
    <w:rsid w:val="001516CD"/>
    <w:rsid w:val="00153E64"/>
    <w:rsid w:val="00157E23"/>
    <w:rsid w:val="00157FC3"/>
    <w:rsid w:val="001611FB"/>
    <w:rsid w:val="00161C84"/>
    <w:rsid w:val="00161D0D"/>
    <w:rsid w:val="001626BD"/>
    <w:rsid w:val="00163EC1"/>
    <w:rsid w:val="00164E23"/>
    <w:rsid w:val="0016595F"/>
    <w:rsid w:val="001659D2"/>
    <w:rsid w:val="00166A2C"/>
    <w:rsid w:val="00167BAC"/>
    <w:rsid w:val="00175EEE"/>
    <w:rsid w:val="00177167"/>
    <w:rsid w:val="00180FCF"/>
    <w:rsid w:val="00181E4F"/>
    <w:rsid w:val="00183C79"/>
    <w:rsid w:val="00183C8B"/>
    <w:rsid w:val="00183E75"/>
    <w:rsid w:val="001845CF"/>
    <w:rsid w:val="001860A1"/>
    <w:rsid w:val="001865BB"/>
    <w:rsid w:val="00187518"/>
    <w:rsid w:val="00187941"/>
    <w:rsid w:val="00192B89"/>
    <w:rsid w:val="00194FD4"/>
    <w:rsid w:val="00196B4E"/>
    <w:rsid w:val="001A027A"/>
    <w:rsid w:val="001A0D2C"/>
    <w:rsid w:val="001A0F8D"/>
    <w:rsid w:val="001A3EB9"/>
    <w:rsid w:val="001A422B"/>
    <w:rsid w:val="001A440A"/>
    <w:rsid w:val="001A4A55"/>
    <w:rsid w:val="001A647E"/>
    <w:rsid w:val="001A6A4F"/>
    <w:rsid w:val="001A6E4E"/>
    <w:rsid w:val="001A76B7"/>
    <w:rsid w:val="001B1339"/>
    <w:rsid w:val="001B1C5E"/>
    <w:rsid w:val="001B1FC5"/>
    <w:rsid w:val="001B29E4"/>
    <w:rsid w:val="001B325E"/>
    <w:rsid w:val="001B350E"/>
    <w:rsid w:val="001B4AD1"/>
    <w:rsid w:val="001B7BEC"/>
    <w:rsid w:val="001C04B2"/>
    <w:rsid w:val="001C1FDE"/>
    <w:rsid w:val="001C3ECC"/>
    <w:rsid w:val="001C3F9F"/>
    <w:rsid w:val="001C5839"/>
    <w:rsid w:val="001C5D27"/>
    <w:rsid w:val="001C624D"/>
    <w:rsid w:val="001C6B81"/>
    <w:rsid w:val="001C77E1"/>
    <w:rsid w:val="001C7ADA"/>
    <w:rsid w:val="001D1896"/>
    <w:rsid w:val="001D1C72"/>
    <w:rsid w:val="001D3543"/>
    <w:rsid w:val="001D58E5"/>
    <w:rsid w:val="001D6A71"/>
    <w:rsid w:val="001D6CA4"/>
    <w:rsid w:val="001D76AD"/>
    <w:rsid w:val="001E086E"/>
    <w:rsid w:val="001E1F53"/>
    <w:rsid w:val="001E2502"/>
    <w:rsid w:val="001E292F"/>
    <w:rsid w:val="001E474D"/>
    <w:rsid w:val="001E4CED"/>
    <w:rsid w:val="001E5A81"/>
    <w:rsid w:val="001E72E6"/>
    <w:rsid w:val="001F0349"/>
    <w:rsid w:val="001F06D1"/>
    <w:rsid w:val="001F0B74"/>
    <w:rsid w:val="001F4EB8"/>
    <w:rsid w:val="001F6287"/>
    <w:rsid w:val="001F6F6A"/>
    <w:rsid w:val="001F7595"/>
    <w:rsid w:val="0020005F"/>
    <w:rsid w:val="00200B34"/>
    <w:rsid w:val="00200B4C"/>
    <w:rsid w:val="00202F9E"/>
    <w:rsid w:val="00203267"/>
    <w:rsid w:val="0020391D"/>
    <w:rsid w:val="00204856"/>
    <w:rsid w:val="00205DF8"/>
    <w:rsid w:val="00205F9C"/>
    <w:rsid w:val="00210771"/>
    <w:rsid w:val="0021117A"/>
    <w:rsid w:val="00211885"/>
    <w:rsid w:val="00211AB7"/>
    <w:rsid w:val="00212A69"/>
    <w:rsid w:val="00214F31"/>
    <w:rsid w:val="00215699"/>
    <w:rsid w:val="002159DE"/>
    <w:rsid w:val="00215E99"/>
    <w:rsid w:val="002166A6"/>
    <w:rsid w:val="0021693C"/>
    <w:rsid w:val="00216B63"/>
    <w:rsid w:val="00216BB6"/>
    <w:rsid w:val="00216C30"/>
    <w:rsid w:val="0021798E"/>
    <w:rsid w:val="0022048B"/>
    <w:rsid w:val="002212D1"/>
    <w:rsid w:val="00222261"/>
    <w:rsid w:val="002237D3"/>
    <w:rsid w:val="002252E7"/>
    <w:rsid w:val="00227D49"/>
    <w:rsid w:val="00227FC7"/>
    <w:rsid w:val="0023012B"/>
    <w:rsid w:val="0023341A"/>
    <w:rsid w:val="002368D8"/>
    <w:rsid w:val="00236E72"/>
    <w:rsid w:val="002372F4"/>
    <w:rsid w:val="00243781"/>
    <w:rsid w:val="002449CB"/>
    <w:rsid w:val="00246CCD"/>
    <w:rsid w:val="002502A3"/>
    <w:rsid w:val="00250F42"/>
    <w:rsid w:val="00250F9F"/>
    <w:rsid w:val="00254B44"/>
    <w:rsid w:val="00254D8D"/>
    <w:rsid w:val="00254E99"/>
    <w:rsid w:val="00254EE9"/>
    <w:rsid w:val="00256A87"/>
    <w:rsid w:val="0026027A"/>
    <w:rsid w:val="00260423"/>
    <w:rsid w:val="00260533"/>
    <w:rsid w:val="00261A54"/>
    <w:rsid w:val="00261D37"/>
    <w:rsid w:val="0026260F"/>
    <w:rsid w:val="00262CBF"/>
    <w:rsid w:val="00263247"/>
    <w:rsid w:val="00263607"/>
    <w:rsid w:val="00264EAD"/>
    <w:rsid w:val="002656E1"/>
    <w:rsid w:val="00265CFF"/>
    <w:rsid w:val="00273278"/>
    <w:rsid w:val="0027447D"/>
    <w:rsid w:val="00274BDB"/>
    <w:rsid w:val="00275641"/>
    <w:rsid w:val="002762AC"/>
    <w:rsid w:val="00280B41"/>
    <w:rsid w:val="002821E9"/>
    <w:rsid w:val="002822B8"/>
    <w:rsid w:val="002830E7"/>
    <w:rsid w:val="00284F1F"/>
    <w:rsid w:val="002857C6"/>
    <w:rsid w:val="002908A7"/>
    <w:rsid w:val="00291D71"/>
    <w:rsid w:val="00291E6A"/>
    <w:rsid w:val="00292F66"/>
    <w:rsid w:val="0029315D"/>
    <w:rsid w:val="0029421A"/>
    <w:rsid w:val="0029430F"/>
    <w:rsid w:val="0029449E"/>
    <w:rsid w:val="00294F84"/>
    <w:rsid w:val="00296F46"/>
    <w:rsid w:val="00296F6E"/>
    <w:rsid w:val="00296F8A"/>
    <w:rsid w:val="002A180F"/>
    <w:rsid w:val="002A2291"/>
    <w:rsid w:val="002A367A"/>
    <w:rsid w:val="002A547D"/>
    <w:rsid w:val="002A5CFA"/>
    <w:rsid w:val="002A7597"/>
    <w:rsid w:val="002B22D4"/>
    <w:rsid w:val="002B3FD0"/>
    <w:rsid w:val="002B5C84"/>
    <w:rsid w:val="002B7969"/>
    <w:rsid w:val="002C02E8"/>
    <w:rsid w:val="002C0E76"/>
    <w:rsid w:val="002C1405"/>
    <w:rsid w:val="002C2DB8"/>
    <w:rsid w:val="002C747E"/>
    <w:rsid w:val="002D0356"/>
    <w:rsid w:val="002D07C0"/>
    <w:rsid w:val="002D14B7"/>
    <w:rsid w:val="002D3EC8"/>
    <w:rsid w:val="002D45BF"/>
    <w:rsid w:val="002D4A85"/>
    <w:rsid w:val="002D64DF"/>
    <w:rsid w:val="002E2DC8"/>
    <w:rsid w:val="002E38DB"/>
    <w:rsid w:val="002E5251"/>
    <w:rsid w:val="002E6AC9"/>
    <w:rsid w:val="002E6F48"/>
    <w:rsid w:val="002E7553"/>
    <w:rsid w:val="002E7B71"/>
    <w:rsid w:val="002E7BA1"/>
    <w:rsid w:val="002F2B7A"/>
    <w:rsid w:val="002F2C03"/>
    <w:rsid w:val="002F3105"/>
    <w:rsid w:val="002F379C"/>
    <w:rsid w:val="002F4205"/>
    <w:rsid w:val="002F5836"/>
    <w:rsid w:val="002F5892"/>
    <w:rsid w:val="002F6778"/>
    <w:rsid w:val="002F72FF"/>
    <w:rsid w:val="0030110E"/>
    <w:rsid w:val="00301A86"/>
    <w:rsid w:val="0030463E"/>
    <w:rsid w:val="00304712"/>
    <w:rsid w:val="00304ED6"/>
    <w:rsid w:val="0030529D"/>
    <w:rsid w:val="00306285"/>
    <w:rsid w:val="003065CD"/>
    <w:rsid w:val="00307223"/>
    <w:rsid w:val="00312115"/>
    <w:rsid w:val="00313197"/>
    <w:rsid w:val="003152A5"/>
    <w:rsid w:val="00315A06"/>
    <w:rsid w:val="00315FC8"/>
    <w:rsid w:val="00317D6E"/>
    <w:rsid w:val="003215AF"/>
    <w:rsid w:val="00322121"/>
    <w:rsid w:val="003225FB"/>
    <w:rsid w:val="00323A7C"/>
    <w:rsid w:val="00323C32"/>
    <w:rsid w:val="00323ED9"/>
    <w:rsid w:val="00324A1D"/>
    <w:rsid w:val="00325742"/>
    <w:rsid w:val="00326D1D"/>
    <w:rsid w:val="00327AB3"/>
    <w:rsid w:val="00327B81"/>
    <w:rsid w:val="003300E7"/>
    <w:rsid w:val="003324F3"/>
    <w:rsid w:val="00333422"/>
    <w:rsid w:val="00335992"/>
    <w:rsid w:val="0033764B"/>
    <w:rsid w:val="00340778"/>
    <w:rsid w:val="00341CED"/>
    <w:rsid w:val="00342C37"/>
    <w:rsid w:val="00342DC1"/>
    <w:rsid w:val="00343662"/>
    <w:rsid w:val="00343CFB"/>
    <w:rsid w:val="00343F41"/>
    <w:rsid w:val="00344534"/>
    <w:rsid w:val="00344646"/>
    <w:rsid w:val="00344FD2"/>
    <w:rsid w:val="003459F3"/>
    <w:rsid w:val="00345C8B"/>
    <w:rsid w:val="00345EA7"/>
    <w:rsid w:val="003460AE"/>
    <w:rsid w:val="0034652C"/>
    <w:rsid w:val="0034680C"/>
    <w:rsid w:val="00350662"/>
    <w:rsid w:val="0035067B"/>
    <w:rsid w:val="00350ABA"/>
    <w:rsid w:val="00351FB4"/>
    <w:rsid w:val="003548DF"/>
    <w:rsid w:val="00354AA5"/>
    <w:rsid w:val="00356EEB"/>
    <w:rsid w:val="00357418"/>
    <w:rsid w:val="0035742D"/>
    <w:rsid w:val="003577D5"/>
    <w:rsid w:val="00360494"/>
    <w:rsid w:val="00363E58"/>
    <w:rsid w:val="0036404A"/>
    <w:rsid w:val="0036508D"/>
    <w:rsid w:val="003651C8"/>
    <w:rsid w:val="00365729"/>
    <w:rsid w:val="003661F2"/>
    <w:rsid w:val="00366967"/>
    <w:rsid w:val="003700A3"/>
    <w:rsid w:val="003701E8"/>
    <w:rsid w:val="00370B40"/>
    <w:rsid w:val="00371E76"/>
    <w:rsid w:val="00372078"/>
    <w:rsid w:val="00373411"/>
    <w:rsid w:val="00373681"/>
    <w:rsid w:val="00373C35"/>
    <w:rsid w:val="00373D40"/>
    <w:rsid w:val="00377BE4"/>
    <w:rsid w:val="00380094"/>
    <w:rsid w:val="00382A1D"/>
    <w:rsid w:val="00383071"/>
    <w:rsid w:val="003837F4"/>
    <w:rsid w:val="003846D9"/>
    <w:rsid w:val="00385F39"/>
    <w:rsid w:val="00386757"/>
    <w:rsid w:val="00386E26"/>
    <w:rsid w:val="00386F0A"/>
    <w:rsid w:val="00387C45"/>
    <w:rsid w:val="00391FAB"/>
    <w:rsid w:val="00392539"/>
    <w:rsid w:val="00392677"/>
    <w:rsid w:val="00394981"/>
    <w:rsid w:val="003953A8"/>
    <w:rsid w:val="00396FEA"/>
    <w:rsid w:val="0039788E"/>
    <w:rsid w:val="003A3551"/>
    <w:rsid w:val="003A38F0"/>
    <w:rsid w:val="003A443D"/>
    <w:rsid w:val="003A4932"/>
    <w:rsid w:val="003A6A5A"/>
    <w:rsid w:val="003A6B98"/>
    <w:rsid w:val="003A72E9"/>
    <w:rsid w:val="003A7414"/>
    <w:rsid w:val="003B236E"/>
    <w:rsid w:val="003B2DEF"/>
    <w:rsid w:val="003B59EE"/>
    <w:rsid w:val="003B5C1A"/>
    <w:rsid w:val="003B6FF1"/>
    <w:rsid w:val="003B7D88"/>
    <w:rsid w:val="003C3BA6"/>
    <w:rsid w:val="003C4206"/>
    <w:rsid w:val="003C64E9"/>
    <w:rsid w:val="003C6994"/>
    <w:rsid w:val="003C6C81"/>
    <w:rsid w:val="003D1E28"/>
    <w:rsid w:val="003D2333"/>
    <w:rsid w:val="003D4C0C"/>
    <w:rsid w:val="003D5413"/>
    <w:rsid w:val="003D6E30"/>
    <w:rsid w:val="003D70B5"/>
    <w:rsid w:val="003D7B45"/>
    <w:rsid w:val="003D7CAC"/>
    <w:rsid w:val="003D7EC3"/>
    <w:rsid w:val="003E00BF"/>
    <w:rsid w:val="003E03E3"/>
    <w:rsid w:val="003E05FE"/>
    <w:rsid w:val="003E21FC"/>
    <w:rsid w:val="003E47DE"/>
    <w:rsid w:val="003E5075"/>
    <w:rsid w:val="003F09CB"/>
    <w:rsid w:val="003F10D3"/>
    <w:rsid w:val="003F12FF"/>
    <w:rsid w:val="003F1548"/>
    <w:rsid w:val="003F2B3D"/>
    <w:rsid w:val="003F3105"/>
    <w:rsid w:val="003F4172"/>
    <w:rsid w:val="003F4249"/>
    <w:rsid w:val="003F5086"/>
    <w:rsid w:val="003F550A"/>
    <w:rsid w:val="003F5BAF"/>
    <w:rsid w:val="003F6612"/>
    <w:rsid w:val="003F6ECC"/>
    <w:rsid w:val="003F70FE"/>
    <w:rsid w:val="003F7F94"/>
    <w:rsid w:val="00400B23"/>
    <w:rsid w:val="00403364"/>
    <w:rsid w:val="0040415C"/>
    <w:rsid w:val="00405CFF"/>
    <w:rsid w:val="004065CE"/>
    <w:rsid w:val="00407FDA"/>
    <w:rsid w:val="0041450E"/>
    <w:rsid w:val="00415370"/>
    <w:rsid w:val="00415781"/>
    <w:rsid w:val="00415F80"/>
    <w:rsid w:val="00416F40"/>
    <w:rsid w:val="00417769"/>
    <w:rsid w:val="00417E25"/>
    <w:rsid w:val="00417E9D"/>
    <w:rsid w:val="00421021"/>
    <w:rsid w:val="00421EF2"/>
    <w:rsid w:val="00422346"/>
    <w:rsid w:val="00422668"/>
    <w:rsid w:val="00424CC9"/>
    <w:rsid w:val="004311CE"/>
    <w:rsid w:val="00431AC1"/>
    <w:rsid w:val="004329C9"/>
    <w:rsid w:val="00432C23"/>
    <w:rsid w:val="00432CD5"/>
    <w:rsid w:val="004339E8"/>
    <w:rsid w:val="004363FA"/>
    <w:rsid w:val="004364CC"/>
    <w:rsid w:val="0044033B"/>
    <w:rsid w:val="004405B0"/>
    <w:rsid w:val="00440CCD"/>
    <w:rsid w:val="004417BD"/>
    <w:rsid w:val="00441FF9"/>
    <w:rsid w:val="0044382F"/>
    <w:rsid w:val="004442EB"/>
    <w:rsid w:val="00444910"/>
    <w:rsid w:val="00447B77"/>
    <w:rsid w:val="0045135E"/>
    <w:rsid w:val="00453062"/>
    <w:rsid w:val="00454597"/>
    <w:rsid w:val="004548E6"/>
    <w:rsid w:val="0045543A"/>
    <w:rsid w:val="004561F9"/>
    <w:rsid w:val="0045637C"/>
    <w:rsid w:val="004627B7"/>
    <w:rsid w:val="00465F04"/>
    <w:rsid w:val="004661D8"/>
    <w:rsid w:val="004673E0"/>
    <w:rsid w:val="00470418"/>
    <w:rsid w:val="00471549"/>
    <w:rsid w:val="004727C4"/>
    <w:rsid w:val="00474904"/>
    <w:rsid w:val="00475B90"/>
    <w:rsid w:val="0047774B"/>
    <w:rsid w:val="00477FAF"/>
    <w:rsid w:val="0048027B"/>
    <w:rsid w:val="00481E67"/>
    <w:rsid w:val="00481E94"/>
    <w:rsid w:val="0048231B"/>
    <w:rsid w:val="004824CE"/>
    <w:rsid w:val="00482CCF"/>
    <w:rsid w:val="0048383D"/>
    <w:rsid w:val="00485E3C"/>
    <w:rsid w:val="00486B09"/>
    <w:rsid w:val="004926C6"/>
    <w:rsid w:val="00492735"/>
    <w:rsid w:val="00492F32"/>
    <w:rsid w:val="00493FC2"/>
    <w:rsid w:val="00494FC9"/>
    <w:rsid w:val="004A02BC"/>
    <w:rsid w:val="004A0399"/>
    <w:rsid w:val="004A201B"/>
    <w:rsid w:val="004A4377"/>
    <w:rsid w:val="004A57EB"/>
    <w:rsid w:val="004A5824"/>
    <w:rsid w:val="004A73CC"/>
    <w:rsid w:val="004B0652"/>
    <w:rsid w:val="004B0F93"/>
    <w:rsid w:val="004B1CAB"/>
    <w:rsid w:val="004B21C6"/>
    <w:rsid w:val="004B36ED"/>
    <w:rsid w:val="004B3D44"/>
    <w:rsid w:val="004B419C"/>
    <w:rsid w:val="004B612E"/>
    <w:rsid w:val="004B623B"/>
    <w:rsid w:val="004B669A"/>
    <w:rsid w:val="004B6E07"/>
    <w:rsid w:val="004B785C"/>
    <w:rsid w:val="004C1BAB"/>
    <w:rsid w:val="004C3E02"/>
    <w:rsid w:val="004C3E9C"/>
    <w:rsid w:val="004C422D"/>
    <w:rsid w:val="004C4CEB"/>
    <w:rsid w:val="004C5CF1"/>
    <w:rsid w:val="004C6077"/>
    <w:rsid w:val="004C6D8E"/>
    <w:rsid w:val="004D000F"/>
    <w:rsid w:val="004D40AF"/>
    <w:rsid w:val="004D4AE0"/>
    <w:rsid w:val="004D5B11"/>
    <w:rsid w:val="004D7BF4"/>
    <w:rsid w:val="004D7C92"/>
    <w:rsid w:val="004E0A5F"/>
    <w:rsid w:val="004E0E95"/>
    <w:rsid w:val="004E38B2"/>
    <w:rsid w:val="004E3936"/>
    <w:rsid w:val="004E47F9"/>
    <w:rsid w:val="004E57DE"/>
    <w:rsid w:val="004E57F7"/>
    <w:rsid w:val="004E5D9C"/>
    <w:rsid w:val="004E6B8E"/>
    <w:rsid w:val="004E7880"/>
    <w:rsid w:val="004F0543"/>
    <w:rsid w:val="004F0FE2"/>
    <w:rsid w:val="004F114F"/>
    <w:rsid w:val="004F5B65"/>
    <w:rsid w:val="005008BE"/>
    <w:rsid w:val="00500F7A"/>
    <w:rsid w:val="005012AD"/>
    <w:rsid w:val="005027BB"/>
    <w:rsid w:val="00502ADE"/>
    <w:rsid w:val="005037E1"/>
    <w:rsid w:val="00503B5C"/>
    <w:rsid w:val="00503B96"/>
    <w:rsid w:val="0050456A"/>
    <w:rsid w:val="005068E1"/>
    <w:rsid w:val="00507222"/>
    <w:rsid w:val="005077C5"/>
    <w:rsid w:val="0051168A"/>
    <w:rsid w:val="005122F4"/>
    <w:rsid w:val="00512FEC"/>
    <w:rsid w:val="00514E36"/>
    <w:rsid w:val="005156A6"/>
    <w:rsid w:val="00516393"/>
    <w:rsid w:val="005163CF"/>
    <w:rsid w:val="005168AE"/>
    <w:rsid w:val="005173ED"/>
    <w:rsid w:val="00520B4F"/>
    <w:rsid w:val="00524AD7"/>
    <w:rsid w:val="00526CFF"/>
    <w:rsid w:val="005274F8"/>
    <w:rsid w:val="00531F39"/>
    <w:rsid w:val="00533920"/>
    <w:rsid w:val="0053480E"/>
    <w:rsid w:val="00535191"/>
    <w:rsid w:val="00535324"/>
    <w:rsid w:val="0053558A"/>
    <w:rsid w:val="005359B5"/>
    <w:rsid w:val="005371C4"/>
    <w:rsid w:val="0054216F"/>
    <w:rsid w:val="005422CE"/>
    <w:rsid w:val="00542B78"/>
    <w:rsid w:val="00542F18"/>
    <w:rsid w:val="005443ED"/>
    <w:rsid w:val="00544853"/>
    <w:rsid w:val="005450B1"/>
    <w:rsid w:val="005450E2"/>
    <w:rsid w:val="0054593D"/>
    <w:rsid w:val="00546C80"/>
    <w:rsid w:val="00547131"/>
    <w:rsid w:val="00547A81"/>
    <w:rsid w:val="00552096"/>
    <w:rsid w:val="00552815"/>
    <w:rsid w:val="00552D03"/>
    <w:rsid w:val="005536E5"/>
    <w:rsid w:val="00553D54"/>
    <w:rsid w:val="0055499E"/>
    <w:rsid w:val="00554FC3"/>
    <w:rsid w:val="00556347"/>
    <w:rsid w:val="0055654E"/>
    <w:rsid w:val="005571D7"/>
    <w:rsid w:val="0055764E"/>
    <w:rsid w:val="0056046B"/>
    <w:rsid w:val="00560528"/>
    <w:rsid w:val="00561923"/>
    <w:rsid w:val="0056310A"/>
    <w:rsid w:val="005664C7"/>
    <w:rsid w:val="0056651B"/>
    <w:rsid w:val="00570C98"/>
    <w:rsid w:val="00571D59"/>
    <w:rsid w:val="00572E3E"/>
    <w:rsid w:val="0057420B"/>
    <w:rsid w:val="00575D3B"/>
    <w:rsid w:val="00580280"/>
    <w:rsid w:val="0058135A"/>
    <w:rsid w:val="00583FDC"/>
    <w:rsid w:val="00584058"/>
    <w:rsid w:val="00585571"/>
    <w:rsid w:val="00585B91"/>
    <w:rsid w:val="00586390"/>
    <w:rsid w:val="00586BF1"/>
    <w:rsid w:val="00590343"/>
    <w:rsid w:val="005903B6"/>
    <w:rsid w:val="005903E4"/>
    <w:rsid w:val="005931F7"/>
    <w:rsid w:val="005932E7"/>
    <w:rsid w:val="00594777"/>
    <w:rsid w:val="00594826"/>
    <w:rsid w:val="005950D6"/>
    <w:rsid w:val="0059751C"/>
    <w:rsid w:val="00597919"/>
    <w:rsid w:val="005A0B9F"/>
    <w:rsid w:val="005A5171"/>
    <w:rsid w:val="005A5847"/>
    <w:rsid w:val="005A63D8"/>
    <w:rsid w:val="005A73D7"/>
    <w:rsid w:val="005A7DBE"/>
    <w:rsid w:val="005B3606"/>
    <w:rsid w:val="005B49B6"/>
    <w:rsid w:val="005B7733"/>
    <w:rsid w:val="005B7A22"/>
    <w:rsid w:val="005C0602"/>
    <w:rsid w:val="005C0C9E"/>
    <w:rsid w:val="005C0CBB"/>
    <w:rsid w:val="005C11FD"/>
    <w:rsid w:val="005C2A8B"/>
    <w:rsid w:val="005C2E28"/>
    <w:rsid w:val="005C40C7"/>
    <w:rsid w:val="005C6022"/>
    <w:rsid w:val="005C6150"/>
    <w:rsid w:val="005D012D"/>
    <w:rsid w:val="005D097F"/>
    <w:rsid w:val="005D1D9F"/>
    <w:rsid w:val="005D29A7"/>
    <w:rsid w:val="005D42B4"/>
    <w:rsid w:val="005D4CF7"/>
    <w:rsid w:val="005D5347"/>
    <w:rsid w:val="005D570F"/>
    <w:rsid w:val="005D5CC5"/>
    <w:rsid w:val="005D6732"/>
    <w:rsid w:val="005D6AFC"/>
    <w:rsid w:val="005D787B"/>
    <w:rsid w:val="005E0745"/>
    <w:rsid w:val="005E12BE"/>
    <w:rsid w:val="005E3DF8"/>
    <w:rsid w:val="005E41CD"/>
    <w:rsid w:val="005E505E"/>
    <w:rsid w:val="005F0215"/>
    <w:rsid w:val="005F1CD5"/>
    <w:rsid w:val="005F2EA8"/>
    <w:rsid w:val="005F3322"/>
    <w:rsid w:val="005F3751"/>
    <w:rsid w:val="005F4136"/>
    <w:rsid w:val="005F446D"/>
    <w:rsid w:val="005F45EF"/>
    <w:rsid w:val="005F5A76"/>
    <w:rsid w:val="005F64C6"/>
    <w:rsid w:val="005F70EA"/>
    <w:rsid w:val="005F77FC"/>
    <w:rsid w:val="005F7CBB"/>
    <w:rsid w:val="006008F1"/>
    <w:rsid w:val="0060099F"/>
    <w:rsid w:val="00601735"/>
    <w:rsid w:val="0060244B"/>
    <w:rsid w:val="00602BD2"/>
    <w:rsid w:val="00605DAE"/>
    <w:rsid w:val="00613C47"/>
    <w:rsid w:val="006148AC"/>
    <w:rsid w:val="00615497"/>
    <w:rsid w:val="00616201"/>
    <w:rsid w:val="00616225"/>
    <w:rsid w:val="00617A8B"/>
    <w:rsid w:val="00622FEA"/>
    <w:rsid w:val="00623CDF"/>
    <w:rsid w:val="00623DB1"/>
    <w:rsid w:val="00623F0A"/>
    <w:rsid w:val="006245F3"/>
    <w:rsid w:val="0062479D"/>
    <w:rsid w:val="00626D0A"/>
    <w:rsid w:val="006278BB"/>
    <w:rsid w:val="00630C76"/>
    <w:rsid w:val="0063195B"/>
    <w:rsid w:val="006319CA"/>
    <w:rsid w:val="006333A8"/>
    <w:rsid w:val="00634EC0"/>
    <w:rsid w:val="0063627F"/>
    <w:rsid w:val="006369A3"/>
    <w:rsid w:val="00637A76"/>
    <w:rsid w:val="00642011"/>
    <w:rsid w:val="00642926"/>
    <w:rsid w:val="00642D72"/>
    <w:rsid w:val="006443CB"/>
    <w:rsid w:val="00644F80"/>
    <w:rsid w:val="00645166"/>
    <w:rsid w:val="00645874"/>
    <w:rsid w:val="00646B9B"/>
    <w:rsid w:val="006478E1"/>
    <w:rsid w:val="0065074A"/>
    <w:rsid w:val="00651CD9"/>
    <w:rsid w:val="00652CF8"/>
    <w:rsid w:val="00652D1E"/>
    <w:rsid w:val="00653CFF"/>
    <w:rsid w:val="006558F8"/>
    <w:rsid w:val="006560F4"/>
    <w:rsid w:val="0065716A"/>
    <w:rsid w:val="00661918"/>
    <w:rsid w:val="00662A5A"/>
    <w:rsid w:val="006653D7"/>
    <w:rsid w:val="00665F5E"/>
    <w:rsid w:val="006665BA"/>
    <w:rsid w:val="00666A4F"/>
    <w:rsid w:val="006703D9"/>
    <w:rsid w:val="00673C7C"/>
    <w:rsid w:val="00676233"/>
    <w:rsid w:val="00677487"/>
    <w:rsid w:val="00680936"/>
    <w:rsid w:val="00680D8C"/>
    <w:rsid w:val="00681EE2"/>
    <w:rsid w:val="00682725"/>
    <w:rsid w:val="00683164"/>
    <w:rsid w:val="006860C6"/>
    <w:rsid w:val="006908E4"/>
    <w:rsid w:val="0069128F"/>
    <w:rsid w:val="00692582"/>
    <w:rsid w:val="00693652"/>
    <w:rsid w:val="006939E7"/>
    <w:rsid w:val="00693D3E"/>
    <w:rsid w:val="006942F7"/>
    <w:rsid w:val="006A2150"/>
    <w:rsid w:val="006A241D"/>
    <w:rsid w:val="006A3288"/>
    <w:rsid w:val="006A43E6"/>
    <w:rsid w:val="006A594C"/>
    <w:rsid w:val="006A646B"/>
    <w:rsid w:val="006A70BE"/>
    <w:rsid w:val="006B059F"/>
    <w:rsid w:val="006B0A89"/>
    <w:rsid w:val="006B1A3B"/>
    <w:rsid w:val="006B4547"/>
    <w:rsid w:val="006B6F32"/>
    <w:rsid w:val="006B7130"/>
    <w:rsid w:val="006C0271"/>
    <w:rsid w:val="006C1E58"/>
    <w:rsid w:val="006C3147"/>
    <w:rsid w:val="006C4150"/>
    <w:rsid w:val="006C4DF4"/>
    <w:rsid w:val="006C5186"/>
    <w:rsid w:val="006C51DA"/>
    <w:rsid w:val="006C5683"/>
    <w:rsid w:val="006C5E33"/>
    <w:rsid w:val="006C5E48"/>
    <w:rsid w:val="006C6434"/>
    <w:rsid w:val="006C6CD8"/>
    <w:rsid w:val="006C7B61"/>
    <w:rsid w:val="006D013F"/>
    <w:rsid w:val="006D017F"/>
    <w:rsid w:val="006D1D3F"/>
    <w:rsid w:val="006D20A9"/>
    <w:rsid w:val="006D20B4"/>
    <w:rsid w:val="006D223D"/>
    <w:rsid w:val="006D253B"/>
    <w:rsid w:val="006D3000"/>
    <w:rsid w:val="006D30DD"/>
    <w:rsid w:val="006D57CB"/>
    <w:rsid w:val="006D6CDD"/>
    <w:rsid w:val="006D6DC0"/>
    <w:rsid w:val="006E0087"/>
    <w:rsid w:val="006E044C"/>
    <w:rsid w:val="006E04A7"/>
    <w:rsid w:val="006E4238"/>
    <w:rsid w:val="006E7045"/>
    <w:rsid w:val="006E7B97"/>
    <w:rsid w:val="006E7D23"/>
    <w:rsid w:val="006F3C26"/>
    <w:rsid w:val="006F3EF9"/>
    <w:rsid w:val="006F42DE"/>
    <w:rsid w:val="006F6159"/>
    <w:rsid w:val="006F62F4"/>
    <w:rsid w:val="006F6798"/>
    <w:rsid w:val="006F6D4C"/>
    <w:rsid w:val="006F6E67"/>
    <w:rsid w:val="006F6F70"/>
    <w:rsid w:val="006F7157"/>
    <w:rsid w:val="006F78E0"/>
    <w:rsid w:val="00701CF4"/>
    <w:rsid w:val="00702B1B"/>
    <w:rsid w:val="00704164"/>
    <w:rsid w:val="00704BA8"/>
    <w:rsid w:val="00706A58"/>
    <w:rsid w:val="00710341"/>
    <w:rsid w:val="007110E1"/>
    <w:rsid w:val="00712FC5"/>
    <w:rsid w:val="00713BE5"/>
    <w:rsid w:val="00714394"/>
    <w:rsid w:val="007161C6"/>
    <w:rsid w:val="00720EAA"/>
    <w:rsid w:val="00721F7E"/>
    <w:rsid w:val="00722E29"/>
    <w:rsid w:val="00724606"/>
    <w:rsid w:val="00724E85"/>
    <w:rsid w:val="00725367"/>
    <w:rsid w:val="007255BA"/>
    <w:rsid w:val="00727583"/>
    <w:rsid w:val="00730073"/>
    <w:rsid w:val="00730DDD"/>
    <w:rsid w:val="00731DE8"/>
    <w:rsid w:val="007321A6"/>
    <w:rsid w:val="00734887"/>
    <w:rsid w:val="00735CD2"/>
    <w:rsid w:val="007365B6"/>
    <w:rsid w:val="007401E2"/>
    <w:rsid w:val="007411E5"/>
    <w:rsid w:val="00746951"/>
    <w:rsid w:val="0074731F"/>
    <w:rsid w:val="0074791E"/>
    <w:rsid w:val="00750D79"/>
    <w:rsid w:val="0075115D"/>
    <w:rsid w:val="0075283C"/>
    <w:rsid w:val="007530F4"/>
    <w:rsid w:val="00753890"/>
    <w:rsid w:val="007555DF"/>
    <w:rsid w:val="00755809"/>
    <w:rsid w:val="00755E75"/>
    <w:rsid w:val="00757BFB"/>
    <w:rsid w:val="00760C66"/>
    <w:rsid w:val="00761434"/>
    <w:rsid w:val="00761D52"/>
    <w:rsid w:val="00761FD5"/>
    <w:rsid w:val="007637D6"/>
    <w:rsid w:val="00765DD8"/>
    <w:rsid w:val="00765EE4"/>
    <w:rsid w:val="007669D3"/>
    <w:rsid w:val="00766D36"/>
    <w:rsid w:val="007673C6"/>
    <w:rsid w:val="00767607"/>
    <w:rsid w:val="007704FE"/>
    <w:rsid w:val="007709CB"/>
    <w:rsid w:val="0077165F"/>
    <w:rsid w:val="00773874"/>
    <w:rsid w:val="007743ED"/>
    <w:rsid w:val="0077447E"/>
    <w:rsid w:val="0077477A"/>
    <w:rsid w:val="00774B6D"/>
    <w:rsid w:val="007760A4"/>
    <w:rsid w:val="007770B9"/>
    <w:rsid w:val="00780D88"/>
    <w:rsid w:val="00781C1F"/>
    <w:rsid w:val="007840F3"/>
    <w:rsid w:val="007850DC"/>
    <w:rsid w:val="00785491"/>
    <w:rsid w:val="007858C0"/>
    <w:rsid w:val="0078679A"/>
    <w:rsid w:val="00790739"/>
    <w:rsid w:val="00791A38"/>
    <w:rsid w:val="00792447"/>
    <w:rsid w:val="00792D96"/>
    <w:rsid w:val="00794A05"/>
    <w:rsid w:val="00795A16"/>
    <w:rsid w:val="00795C0D"/>
    <w:rsid w:val="0079694C"/>
    <w:rsid w:val="00796DBD"/>
    <w:rsid w:val="007A3977"/>
    <w:rsid w:val="007A4E17"/>
    <w:rsid w:val="007A641B"/>
    <w:rsid w:val="007A643A"/>
    <w:rsid w:val="007A7F6D"/>
    <w:rsid w:val="007B0FBD"/>
    <w:rsid w:val="007B1BAF"/>
    <w:rsid w:val="007B1FFC"/>
    <w:rsid w:val="007B2896"/>
    <w:rsid w:val="007B2CDD"/>
    <w:rsid w:val="007B35F7"/>
    <w:rsid w:val="007B3699"/>
    <w:rsid w:val="007B3A98"/>
    <w:rsid w:val="007B41D6"/>
    <w:rsid w:val="007B4F72"/>
    <w:rsid w:val="007B7A4A"/>
    <w:rsid w:val="007C0E04"/>
    <w:rsid w:val="007C1AEE"/>
    <w:rsid w:val="007C2476"/>
    <w:rsid w:val="007C2827"/>
    <w:rsid w:val="007C2B80"/>
    <w:rsid w:val="007C3858"/>
    <w:rsid w:val="007C3A26"/>
    <w:rsid w:val="007C73CC"/>
    <w:rsid w:val="007C74E5"/>
    <w:rsid w:val="007D0E43"/>
    <w:rsid w:val="007D13CB"/>
    <w:rsid w:val="007D13E7"/>
    <w:rsid w:val="007D143E"/>
    <w:rsid w:val="007D1D08"/>
    <w:rsid w:val="007D1E37"/>
    <w:rsid w:val="007D3D9D"/>
    <w:rsid w:val="007D563E"/>
    <w:rsid w:val="007D5FC1"/>
    <w:rsid w:val="007D715A"/>
    <w:rsid w:val="007E0E9E"/>
    <w:rsid w:val="007E21FB"/>
    <w:rsid w:val="007E2E52"/>
    <w:rsid w:val="007E3953"/>
    <w:rsid w:val="007E420B"/>
    <w:rsid w:val="007E4932"/>
    <w:rsid w:val="007E502C"/>
    <w:rsid w:val="007E5BD7"/>
    <w:rsid w:val="007E6023"/>
    <w:rsid w:val="007E75F0"/>
    <w:rsid w:val="007E7968"/>
    <w:rsid w:val="007F013A"/>
    <w:rsid w:val="007F0F3F"/>
    <w:rsid w:val="007F2B60"/>
    <w:rsid w:val="007F2D90"/>
    <w:rsid w:val="007F4F82"/>
    <w:rsid w:val="007F5642"/>
    <w:rsid w:val="00801CA0"/>
    <w:rsid w:val="008028E8"/>
    <w:rsid w:val="0080382C"/>
    <w:rsid w:val="0080444B"/>
    <w:rsid w:val="00804653"/>
    <w:rsid w:val="008066F8"/>
    <w:rsid w:val="00806A84"/>
    <w:rsid w:val="00807805"/>
    <w:rsid w:val="00807C6C"/>
    <w:rsid w:val="0081065D"/>
    <w:rsid w:val="00810B7A"/>
    <w:rsid w:val="00812571"/>
    <w:rsid w:val="00813341"/>
    <w:rsid w:val="0081340B"/>
    <w:rsid w:val="00813AB2"/>
    <w:rsid w:val="00815986"/>
    <w:rsid w:val="00816C39"/>
    <w:rsid w:val="00817362"/>
    <w:rsid w:val="008179C3"/>
    <w:rsid w:val="00817BB4"/>
    <w:rsid w:val="0082026B"/>
    <w:rsid w:val="00821021"/>
    <w:rsid w:val="008214BB"/>
    <w:rsid w:val="00821609"/>
    <w:rsid w:val="00821B58"/>
    <w:rsid w:val="00822D4E"/>
    <w:rsid w:val="00822E46"/>
    <w:rsid w:val="00823B4E"/>
    <w:rsid w:val="008249B0"/>
    <w:rsid w:val="008258DC"/>
    <w:rsid w:val="008268A1"/>
    <w:rsid w:val="00826D8D"/>
    <w:rsid w:val="00826F4C"/>
    <w:rsid w:val="00830A24"/>
    <w:rsid w:val="008312E0"/>
    <w:rsid w:val="00832596"/>
    <w:rsid w:val="00833014"/>
    <w:rsid w:val="00837374"/>
    <w:rsid w:val="008377DA"/>
    <w:rsid w:val="0084080A"/>
    <w:rsid w:val="00844959"/>
    <w:rsid w:val="00845810"/>
    <w:rsid w:val="00845A15"/>
    <w:rsid w:val="0084632F"/>
    <w:rsid w:val="00846F67"/>
    <w:rsid w:val="008503E6"/>
    <w:rsid w:val="00852A1F"/>
    <w:rsid w:val="00855B06"/>
    <w:rsid w:val="00856D60"/>
    <w:rsid w:val="00857D29"/>
    <w:rsid w:val="008603EB"/>
    <w:rsid w:val="00861974"/>
    <w:rsid w:val="008629A8"/>
    <w:rsid w:val="00862DB5"/>
    <w:rsid w:val="008647C9"/>
    <w:rsid w:val="0086605D"/>
    <w:rsid w:val="0087026D"/>
    <w:rsid w:val="00870CB6"/>
    <w:rsid w:val="00873FEA"/>
    <w:rsid w:val="0087419B"/>
    <w:rsid w:val="00874592"/>
    <w:rsid w:val="00875A20"/>
    <w:rsid w:val="008807EE"/>
    <w:rsid w:val="00880C81"/>
    <w:rsid w:val="0088164D"/>
    <w:rsid w:val="008818F6"/>
    <w:rsid w:val="00881D87"/>
    <w:rsid w:val="0088398E"/>
    <w:rsid w:val="0088494C"/>
    <w:rsid w:val="00884C0D"/>
    <w:rsid w:val="00885E38"/>
    <w:rsid w:val="00887E02"/>
    <w:rsid w:val="00890711"/>
    <w:rsid w:val="008909F3"/>
    <w:rsid w:val="00891CCE"/>
    <w:rsid w:val="00893479"/>
    <w:rsid w:val="00895412"/>
    <w:rsid w:val="00896E9D"/>
    <w:rsid w:val="008A18C6"/>
    <w:rsid w:val="008A1C47"/>
    <w:rsid w:val="008A5290"/>
    <w:rsid w:val="008A54EE"/>
    <w:rsid w:val="008A593A"/>
    <w:rsid w:val="008A6006"/>
    <w:rsid w:val="008A6AFD"/>
    <w:rsid w:val="008A6C5A"/>
    <w:rsid w:val="008B0EAD"/>
    <w:rsid w:val="008B1718"/>
    <w:rsid w:val="008B1F93"/>
    <w:rsid w:val="008B2DF3"/>
    <w:rsid w:val="008B3403"/>
    <w:rsid w:val="008B376A"/>
    <w:rsid w:val="008B3F57"/>
    <w:rsid w:val="008B40F0"/>
    <w:rsid w:val="008B49BE"/>
    <w:rsid w:val="008B5559"/>
    <w:rsid w:val="008B7220"/>
    <w:rsid w:val="008C031A"/>
    <w:rsid w:val="008C08A5"/>
    <w:rsid w:val="008C479C"/>
    <w:rsid w:val="008C5D3D"/>
    <w:rsid w:val="008C64E3"/>
    <w:rsid w:val="008C661F"/>
    <w:rsid w:val="008C67EC"/>
    <w:rsid w:val="008C6D2C"/>
    <w:rsid w:val="008C7883"/>
    <w:rsid w:val="008D044B"/>
    <w:rsid w:val="008D08BB"/>
    <w:rsid w:val="008D0D1E"/>
    <w:rsid w:val="008D11E2"/>
    <w:rsid w:val="008D26B1"/>
    <w:rsid w:val="008D3796"/>
    <w:rsid w:val="008D571F"/>
    <w:rsid w:val="008D5722"/>
    <w:rsid w:val="008D6840"/>
    <w:rsid w:val="008D704D"/>
    <w:rsid w:val="008E1E54"/>
    <w:rsid w:val="008E3C88"/>
    <w:rsid w:val="008E3E79"/>
    <w:rsid w:val="008E4592"/>
    <w:rsid w:val="008E78F2"/>
    <w:rsid w:val="008E792D"/>
    <w:rsid w:val="008F022C"/>
    <w:rsid w:val="008F0CB5"/>
    <w:rsid w:val="008F0E05"/>
    <w:rsid w:val="008F141E"/>
    <w:rsid w:val="00905CA5"/>
    <w:rsid w:val="00906619"/>
    <w:rsid w:val="00907B8B"/>
    <w:rsid w:val="00912E40"/>
    <w:rsid w:val="00915CE3"/>
    <w:rsid w:val="00916186"/>
    <w:rsid w:val="00917887"/>
    <w:rsid w:val="009207DB"/>
    <w:rsid w:val="00921632"/>
    <w:rsid w:val="00922024"/>
    <w:rsid w:val="00922AF6"/>
    <w:rsid w:val="00922B10"/>
    <w:rsid w:val="0092539A"/>
    <w:rsid w:val="00925501"/>
    <w:rsid w:val="00925E32"/>
    <w:rsid w:val="0092636D"/>
    <w:rsid w:val="00926982"/>
    <w:rsid w:val="009270C4"/>
    <w:rsid w:val="009276A7"/>
    <w:rsid w:val="00932196"/>
    <w:rsid w:val="00932E2D"/>
    <w:rsid w:val="00934FA8"/>
    <w:rsid w:val="00935071"/>
    <w:rsid w:val="00936512"/>
    <w:rsid w:val="00936535"/>
    <w:rsid w:val="00936669"/>
    <w:rsid w:val="0093740F"/>
    <w:rsid w:val="00937B4A"/>
    <w:rsid w:val="00937C1D"/>
    <w:rsid w:val="00940FC3"/>
    <w:rsid w:val="0094131D"/>
    <w:rsid w:val="009418AB"/>
    <w:rsid w:val="00942120"/>
    <w:rsid w:val="00942316"/>
    <w:rsid w:val="009425F7"/>
    <w:rsid w:val="00943563"/>
    <w:rsid w:val="00943E38"/>
    <w:rsid w:val="00944BC7"/>
    <w:rsid w:val="00944BF0"/>
    <w:rsid w:val="00946136"/>
    <w:rsid w:val="009532DB"/>
    <w:rsid w:val="009540C1"/>
    <w:rsid w:val="00954282"/>
    <w:rsid w:val="00954427"/>
    <w:rsid w:val="00954F10"/>
    <w:rsid w:val="00955F46"/>
    <w:rsid w:val="00964567"/>
    <w:rsid w:val="00965424"/>
    <w:rsid w:val="0096797D"/>
    <w:rsid w:val="00967C69"/>
    <w:rsid w:val="00973179"/>
    <w:rsid w:val="00975595"/>
    <w:rsid w:val="00975C75"/>
    <w:rsid w:val="009761DE"/>
    <w:rsid w:val="00977D14"/>
    <w:rsid w:val="00980239"/>
    <w:rsid w:val="0098177A"/>
    <w:rsid w:val="00983EFD"/>
    <w:rsid w:val="00985346"/>
    <w:rsid w:val="00986257"/>
    <w:rsid w:val="00986861"/>
    <w:rsid w:val="00986BE6"/>
    <w:rsid w:val="00987BF5"/>
    <w:rsid w:val="00987CBC"/>
    <w:rsid w:val="0099065C"/>
    <w:rsid w:val="00990904"/>
    <w:rsid w:val="009949B8"/>
    <w:rsid w:val="00996326"/>
    <w:rsid w:val="00996546"/>
    <w:rsid w:val="009A0091"/>
    <w:rsid w:val="009A24B8"/>
    <w:rsid w:val="009A3567"/>
    <w:rsid w:val="009A44E8"/>
    <w:rsid w:val="009A4F69"/>
    <w:rsid w:val="009A67D6"/>
    <w:rsid w:val="009A7514"/>
    <w:rsid w:val="009A75D7"/>
    <w:rsid w:val="009A775A"/>
    <w:rsid w:val="009B1DA5"/>
    <w:rsid w:val="009B26E3"/>
    <w:rsid w:val="009B28FD"/>
    <w:rsid w:val="009B2AD6"/>
    <w:rsid w:val="009B3329"/>
    <w:rsid w:val="009B41D4"/>
    <w:rsid w:val="009B53D1"/>
    <w:rsid w:val="009B5594"/>
    <w:rsid w:val="009B729E"/>
    <w:rsid w:val="009B7498"/>
    <w:rsid w:val="009B7ED4"/>
    <w:rsid w:val="009C3D84"/>
    <w:rsid w:val="009C5499"/>
    <w:rsid w:val="009C7B1D"/>
    <w:rsid w:val="009D03F1"/>
    <w:rsid w:val="009D18B8"/>
    <w:rsid w:val="009D1CF4"/>
    <w:rsid w:val="009D2CCD"/>
    <w:rsid w:val="009D380F"/>
    <w:rsid w:val="009D4C17"/>
    <w:rsid w:val="009D5001"/>
    <w:rsid w:val="009D549B"/>
    <w:rsid w:val="009D57A7"/>
    <w:rsid w:val="009D5CC8"/>
    <w:rsid w:val="009E0D0E"/>
    <w:rsid w:val="009E1607"/>
    <w:rsid w:val="009E1BBE"/>
    <w:rsid w:val="009E37D3"/>
    <w:rsid w:val="009E5F2F"/>
    <w:rsid w:val="009E6DD0"/>
    <w:rsid w:val="009E6ED8"/>
    <w:rsid w:val="009F0861"/>
    <w:rsid w:val="009F0BD9"/>
    <w:rsid w:val="009F1FD9"/>
    <w:rsid w:val="009F283D"/>
    <w:rsid w:val="009F33FA"/>
    <w:rsid w:val="009F3645"/>
    <w:rsid w:val="009F42F3"/>
    <w:rsid w:val="00A00DC0"/>
    <w:rsid w:val="00A01C1F"/>
    <w:rsid w:val="00A01C98"/>
    <w:rsid w:val="00A04857"/>
    <w:rsid w:val="00A05ACF"/>
    <w:rsid w:val="00A05B2E"/>
    <w:rsid w:val="00A05B3C"/>
    <w:rsid w:val="00A06A54"/>
    <w:rsid w:val="00A07D88"/>
    <w:rsid w:val="00A10049"/>
    <w:rsid w:val="00A10423"/>
    <w:rsid w:val="00A1260D"/>
    <w:rsid w:val="00A13518"/>
    <w:rsid w:val="00A137BC"/>
    <w:rsid w:val="00A137EE"/>
    <w:rsid w:val="00A15A52"/>
    <w:rsid w:val="00A16607"/>
    <w:rsid w:val="00A20A26"/>
    <w:rsid w:val="00A20A3A"/>
    <w:rsid w:val="00A266C7"/>
    <w:rsid w:val="00A26AD1"/>
    <w:rsid w:val="00A27A71"/>
    <w:rsid w:val="00A30AF2"/>
    <w:rsid w:val="00A31569"/>
    <w:rsid w:val="00A32211"/>
    <w:rsid w:val="00A338D9"/>
    <w:rsid w:val="00A34114"/>
    <w:rsid w:val="00A342D8"/>
    <w:rsid w:val="00A34BEA"/>
    <w:rsid w:val="00A34C81"/>
    <w:rsid w:val="00A34E19"/>
    <w:rsid w:val="00A36BD5"/>
    <w:rsid w:val="00A40D0C"/>
    <w:rsid w:val="00A41302"/>
    <w:rsid w:val="00A41C59"/>
    <w:rsid w:val="00A41C63"/>
    <w:rsid w:val="00A44E33"/>
    <w:rsid w:val="00A46D01"/>
    <w:rsid w:val="00A47029"/>
    <w:rsid w:val="00A50299"/>
    <w:rsid w:val="00A51E24"/>
    <w:rsid w:val="00A536D5"/>
    <w:rsid w:val="00A53CEC"/>
    <w:rsid w:val="00A5510E"/>
    <w:rsid w:val="00A559F4"/>
    <w:rsid w:val="00A56547"/>
    <w:rsid w:val="00A570E0"/>
    <w:rsid w:val="00A606A0"/>
    <w:rsid w:val="00A61263"/>
    <w:rsid w:val="00A614AD"/>
    <w:rsid w:val="00A61886"/>
    <w:rsid w:val="00A61C42"/>
    <w:rsid w:val="00A61C70"/>
    <w:rsid w:val="00A625CD"/>
    <w:rsid w:val="00A62FC9"/>
    <w:rsid w:val="00A63706"/>
    <w:rsid w:val="00A63D89"/>
    <w:rsid w:val="00A65DF7"/>
    <w:rsid w:val="00A66E04"/>
    <w:rsid w:val="00A671B3"/>
    <w:rsid w:val="00A67E84"/>
    <w:rsid w:val="00A71367"/>
    <w:rsid w:val="00A73642"/>
    <w:rsid w:val="00A7588B"/>
    <w:rsid w:val="00A76063"/>
    <w:rsid w:val="00A76769"/>
    <w:rsid w:val="00A771BF"/>
    <w:rsid w:val="00A806C9"/>
    <w:rsid w:val="00A81953"/>
    <w:rsid w:val="00A84AE2"/>
    <w:rsid w:val="00A84D78"/>
    <w:rsid w:val="00A85793"/>
    <w:rsid w:val="00A861F3"/>
    <w:rsid w:val="00A87B9F"/>
    <w:rsid w:val="00A909A5"/>
    <w:rsid w:val="00A90B1F"/>
    <w:rsid w:val="00A90DB1"/>
    <w:rsid w:val="00A90EAC"/>
    <w:rsid w:val="00A9147B"/>
    <w:rsid w:val="00A91904"/>
    <w:rsid w:val="00A91BA8"/>
    <w:rsid w:val="00A91EF1"/>
    <w:rsid w:val="00A91EF2"/>
    <w:rsid w:val="00A9325C"/>
    <w:rsid w:val="00A9390E"/>
    <w:rsid w:val="00A94171"/>
    <w:rsid w:val="00A94A9D"/>
    <w:rsid w:val="00A94FD5"/>
    <w:rsid w:val="00A95969"/>
    <w:rsid w:val="00A96FC6"/>
    <w:rsid w:val="00A971D5"/>
    <w:rsid w:val="00A97B61"/>
    <w:rsid w:val="00AA01DA"/>
    <w:rsid w:val="00AA0F42"/>
    <w:rsid w:val="00AA1F2D"/>
    <w:rsid w:val="00AA39AE"/>
    <w:rsid w:val="00AA41BA"/>
    <w:rsid w:val="00AA450C"/>
    <w:rsid w:val="00AA587A"/>
    <w:rsid w:val="00AA7247"/>
    <w:rsid w:val="00AB1287"/>
    <w:rsid w:val="00AB1CE8"/>
    <w:rsid w:val="00AB1D28"/>
    <w:rsid w:val="00AB1D98"/>
    <w:rsid w:val="00AB5846"/>
    <w:rsid w:val="00AB68CF"/>
    <w:rsid w:val="00AB6DFC"/>
    <w:rsid w:val="00AB6F7D"/>
    <w:rsid w:val="00AB7706"/>
    <w:rsid w:val="00AC3DB7"/>
    <w:rsid w:val="00AC57D2"/>
    <w:rsid w:val="00AC7899"/>
    <w:rsid w:val="00AD15AE"/>
    <w:rsid w:val="00AD27FC"/>
    <w:rsid w:val="00AD2AFF"/>
    <w:rsid w:val="00AD3229"/>
    <w:rsid w:val="00AD72C2"/>
    <w:rsid w:val="00AD752F"/>
    <w:rsid w:val="00AE041D"/>
    <w:rsid w:val="00AE0456"/>
    <w:rsid w:val="00AE18CE"/>
    <w:rsid w:val="00AE23C2"/>
    <w:rsid w:val="00AE2D01"/>
    <w:rsid w:val="00AE55BC"/>
    <w:rsid w:val="00AE686D"/>
    <w:rsid w:val="00AE6B27"/>
    <w:rsid w:val="00AE7C0C"/>
    <w:rsid w:val="00AF0B16"/>
    <w:rsid w:val="00AF0F96"/>
    <w:rsid w:val="00AF21D7"/>
    <w:rsid w:val="00AF28EB"/>
    <w:rsid w:val="00AF36B6"/>
    <w:rsid w:val="00AF443A"/>
    <w:rsid w:val="00AF6A62"/>
    <w:rsid w:val="00B00085"/>
    <w:rsid w:val="00B00ED5"/>
    <w:rsid w:val="00B01589"/>
    <w:rsid w:val="00B02BF0"/>
    <w:rsid w:val="00B02EEE"/>
    <w:rsid w:val="00B03AB4"/>
    <w:rsid w:val="00B04BED"/>
    <w:rsid w:val="00B05B91"/>
    <w:rsid w:val="00B07625"/>
    <w:rsid w:val="00B077CC"/>
    <w:rsid w:val="00B12FD0"/>
    <w:rsid w:val="00B1482F"/>
    <w:rsid w:val="00B15A4C"/>
    <w:rsid w:val="00B15BB2"/>
    <w:rsid w:val="00B229BE"/>
    <w:rsid w:val="00B244A7"/>
    <w:rsid w:val="00B2635B"/>
    <w:rsid w:val="00B27A6D"/>
    <w:rsid w:val="00B27B37"/>
    <w:rsid w:val="00B32EDE"/>
    <w:rsid w:val="00B34C4E"/>
    <w:rsid w:val="00B35FAA"/>
    <w:rsid w:val="00B36A9F"/>
    <w:rsid w:val="00B37EB7"/>
    <w:rsid w:val="00B41410"/>
    <w:rsid w:val="00B42C20"/>
    <w:rsid w:val="00B42D9A"/>
    <w:rsid w:val="00B43CED"/>
    <w:rsid w:val="00B448BB"/>
    <w:rsid w:val="00B44D27"/>
    <w:rsid w:val="00B45928"/>
    <w:rsid w:val="00B459A7"/>
    <w:rsid w:val="00B45D8A"/>
    <w:rsid w:val="00B539EB"/>
    <w:rsid w:val="00B5495B"/>
    <w:rsid w:val="00B55424"/>
    <w:rsid w:val="00B562E6"/>
    <w:rsid w:val="00B564E9"/>
    <w:rsid w:val="00B56B2E"/>
    <w:rsid w:val="00B576E1"/>
    <w:rsid w:val="00B6004E"/>
    <w:rsid w:val="00B608F1"/>
    <w:rsid w:val="00B60F79"/>
    <w:rsid w:val="00B616C9"/>
    <w:rsid w:val="00B61B49"/>
    <w:rsid w:val="00B62E01"/>
    <w:rsid w:val="00B63B4A"/>
    <w:rsid w:val="00B63BE3"/>
    <w:rsid w:val="00B64778"/>
    <w:rsid w:val="00B64AB9"/>
    <w:rsid w:val="00B673CA"/>
    <w:rsid w:val="00B6741B"/>
    <w:rsid w:val="00B6753E"/>
    <w:rsid w:val="00B7117A"/>
    <w:rsid w:val="00B72053"/>
    <w:rsid w:val="00B7471D"/>
    <w:rsid w:val="00B75163"/>
    <w:rsid w:val="00B75D3F"/>
    <w:rsid w:val="00B77723"/>
    <w:rsid w:val="00B800A6"/>
    <w:rsid w:val="00B8049E"/>
    <w:rsid w:val="00B815D3"/>
    <w:rsid w:val="00B83476"/>
    <w:rsid w:val="00B843A1"/>
    <w:rsid w:val="00B8559C"/>
    <w:rsid w:val="00B8748B"/>
    <w:rsid w:val="00B906A7"/>
    <w:rsid w:val="00B90C61"/>
    <w:rsid w:val="00B91818"/>
    <w:rsid w:val="00B93170"/>
    <w:rsid w:val="00B94BE5"/>
    <w:rsid w:val="00B9715C"/>
    <w:rsid w:val="00BA075F"/>
    <w:rsid w:val="00BA0A76"/>
    <w:rsid w:val="00BA0FA7"/>
    <w:rsid w:val="00BA10CE"/>
    <w:rsid w:val="00BA59BA"/>
    <w:rsid w:val="00BA5B2A"/>
    <w:rsid w:val="00BA7495"/>
    <w:rsid w:val="00BB0423"/>
    <w:rsid w:val="00BB0A78"/>
    <w:rsid w:val="00BB1613"/>
    <w:rsid w:val="00BB1D28"/>
    <w:rsid w:val="00BB3396"/>
    <w:rsid w:val="00BB3B83"/>
    <w:rsid w:val="00BB45E1"/>
    <w:rsid w:val="00BB6593"/>
    <w:rsid w:val="00BB6ECF"/>
    <w:rsid w:val="00BB74B3"/>
    <w:rsid w:val="00BB76CE"/>
    <w:rsid w:val="00BB777A"/>
    <w:rsid w:val="00BC0452"/>
    <w:rsid w:val="00BC092B"/>
    <w:rsid w:val="00BC0CB5"/>
    <w:rsid w:val="00BC1765"/>
    <w:rsid w:val="00BC23DB"/>
    <w:rsid w:val="00BC284E"/>
    <w:rsid w:val="00BC2B2C"/>
    <w:rsid w:val="00BC47D8"/>
    <w:rsid w:val="00BC5454"/>
    <w:rsid w:val="00BC656A"/>
    <w:rsid w:val="00BC7CC5"/>
    <w:rsid w:val="00BD16D1"/>
    <w:rsid w:val="00BD219A"/>
    <w:rsid w:val="00BD2539"/>
    <w:rsid w:val="00BD2C42"/>
    <w:rsid w:val="00BD4A96"/>
    <w:rsid w:val="00BD4FC8"/>
    <w:rsid w:val="00BD5BB1"/>
    <w:rsid w:val="00BD64FB"/>
    <w:rsid w:val="00BD65E1"/>
    <w:rsid w:val="00BD6EF9"/>
    <w:rsid w:val="00BD754C"/>
    <w:rsid w:val="00BD7562"/>
    <w:rsid w:val="00BD7746"/>
    <w:rsid w:val="00BE0A56"/>
    <w:rsid w:val="00BE0F79"/>
    <w:rsid w:val="00BE1034"/>
    <w:rsid w:val="00BE1428"/>
    <w:rsid w:val="00BE1511"/>
    <w:rsid w:val="00BE2AB1"/>
    <w:rsid w:val="00BE34DE"/>
    <w:rsid w:val="00BE72FD"/>
    <w:rsid w:val="00BE786F"/>
    <w:rsid w:val="00BF1728"/>
    <w:rsid w:val="00BF1EF8"/>
    <w:rsid w:val="00BF2DE5"/>
    <w:rsid w:val="00BF4C49"/>
    <w:rsid w:val="00BF6338"/>
    <w:rsid w:val="00BF6D56"/>
    <w:rsid w:val="00BF7BD2"/>
    <w:rsid w:val="00C00C99"/>
    <w:rsid w:val="00C00D03"/>
    <w:rsid w:val="00C00E6D"/>
    <w:rsid w:val="00C00FA3"/>
    <w:rsid w:val="00C01DFC"/>
    <w:rsid w:val="00C0282B"/>
    <w:rsid w:val="00C02BE2"/>
    <w:rsid w:val="00C050A6"/>
    <w:rsid w:val="00C05239"/>
    <w:rsid w:val="00C067E0"/>
    <w:rsid w:val="00C078F8"/>
    <w:rsid w:val="00C1025D"/>
    <w:rsid w:val="00C12253"/>
    <w:rsid w:val="00C1240A"/>
    <w:rsid w:val="00C1283E"/>
    <w:rsid w:val="00C12D93"/>
    <w:rsid w:val="00C12EE2"/>
    <w:rsid w:val="00C13419"/>
    <w:rsid w:val="00C139DE"/>
    <w:rsid w:val="00C13B55"/>
    <w:rsid w:val="00C17014"/>
    <w:rsid w:val="00C206F8"/>
    <w:rsid w:val="00C21A06"/>
    <w:rsid w:val="00C23520"/>
    <w:rsid w:val="00C23FB4"/>
    <w:rsid w:val="00C24DA9"/>
    <w:rsid w:val="00C25082"/>
    <w:rsid w:val="00C25E6A"/>
    <w:rsid w:val="00C25E7D"/>
    <w:rsid w:val="00C265D4"/>
    <w:rsid w:val="00C275FC"/>
    <w:rsid w:val="00C30D84"/>
    <w:rsid w:val="00C3160C"/>
    <w:rsid w:val="00C317A7"/>
    <w:rsid w:val="00C33AEC"/>
    <w:rsid w:val="00C33BC0"/>
    <w:rsid w:val="00C34182"/>
    <w:rsid w:val="00C34536"/>
    <w:rsid w:val="00C37BAC"/>
    <w:rsid w:val="00C410D2"/>
    <w:rsid w:val="00C42A78"/>
    <w:rsid w:val="00C437D6"/>
    <w:rsid w:val="00C43BCF"/>
    <w:rsid w:val="00C450A4"/>
    <w:rsid w:val="00C45350"/>
    <w:rsid w:val="00C4601D"/>
    <w:rsid w:val="00C47478"/>
    <w:rsid w:val="00C51C5F"/>
    <w:rsid w:val="00C528F5"/>
    <w:rsid w:val="00C53EE2"/>
    <w:rsid w:val="00C54473"/>
    <w:rsid w:val="00C554AE"/>
    <w:rsid w:val="00C55B38"/>
    <w:rsid w:val="00C55D94"/>
    <w:rsid w:val="00C57582"/>
    <w:rsid w:val="00C6054E"/>
    <w:rsid w:val="00C608EF"/>
    <w:rsid w:val="00C60D2E"/>
    <w:rsid w:val="00C612BB"/>
    <w:rsid w:val="00C612BF"/>
    <w:rsid w:val="00C612C3"/>
    <w:rsid w:val="00C6207E"/>
    <w:rsid w:val="00C64FAE"/>
    <w:rsid w:val="00C66344"/>
    <w:rsid w:val="00C674F7"/>
    <w:rsid w:val="00C70244"/>
    <w:rsid w:val="00C70469"/>
    <w:rsid w:val="00C71671"/>
    <w:rsid w:val="00C71735"/>
    <w:rsid w:val="00C717CD"/>
    <w:rsid w:val="00C71B0E"/>
    <w:rsid w:val="00C743B4"/>
    <w:rsid w:val="00C745D7"/>
    <w:rsid w:val="00C74B2C"/>
    <w:rsid w:val="00C755C8"/>
    <w:rsid w:val="00C763A0"/>
    <w:rsid w:val="00C7702A"/>
    <w:rsid w:val="00C773C8"/>
    <w:rsid w:val="00C80A25"/>
    <w:rsid w:val="00C8157A"/>
    <w:rsid w:val="00C81DF7"/>
    <w:rsid w:val="00C82930"/>
    <w:rsid w:val="00C852A5"/>
    <w:rsid w:val="00C8531E"/>
    <w:rsid w:val="00C85B6C"/>
    <w:rsid w:val="00C86BFE"/>
    <w:rsid w:val="00C86D8A"/>
    <w:rsid w:val="00C900B0"/>
    <w:rsid w:val="00C90231"/>
    <w:rsid w:val="00C9080B"/>
    <w:rsid w:val="00C90EF9"/>
    <w:rsid w:val="00C92127"/>
    <w:rsid w:val="00C92714"/>
    <w:rsid w:val="00C92949"/>
    <w:rsid w:val="00C9312F"/>
    <w:rsid w:val="00C941A5"/>
    <w:rsid w:val="00C94AD2"/>
    <w:rsid w:val="00C95ED6"/>
    <w:rsid w:val="00C965B4"/>
    <w:rsid w:val="00C97335"/>
    <w:rsid w:val="00CA086D"/>
    <w:rsid w:val="00CA1FB0"/>
    <w:rsid w:val="00CA24D1"/>
    <w:rsid w:val="00CA39CC"/>
    <w:rsid w:val="00CA4608"/>
    <w:rsid w:val="00CA4743"/>
    <w:rsid w:val="00CA4B0F"/>
    <w:rsid w:val="00CA5D4C"/>
    <w:rsid w:val="00CA735E"/>
    <w:rsid w:val="00CA73DC"/>
    <w:rsid w:val="00CA7AB3"/>
    <w:rsid w:val="00CA7BB3"/>
    <w:rsid w:val="00CA7CD5"/>
    <w:rsid w:val="00CB138F"/>
    <w:rsid w:val="00CB13E0"/>
    <w:rsid w:val="00CB1E6D"/>
    <w:rsid w:val="00CB23B4"/>
    <w:rsid w:val="00CB254E"/>
    <w:rsid w:val="00CB5471"/>
    <w:rsid w:val="00CB5944"/>
    <w:rsid w:val="00CB5B41"/>
    <w:rsid w:val="00CB5F2B"/>
    <w:rsid w:val="00CB76B8"/>
    <w:rsid w:val="00CB7703"/>
    <w:rsid w:val="00CB783B"/>
    <w:rsid w:val="00CC2803"/>
    <w:rsid w:val="00CC414B"/>
    <w:rsid w:val="00CC5B76"/>
    <w:rsid w:val="00CC707F"/>
    <w:rsid w:val="00CC79CD"/>
    <w:rsid w:val="00CD0761"/>
    <w:rsid w:val="00CD1841"/>
    <w:rsid w:val="00CD1BF1"/>
    <w:rsid w:val="00CD2A3E"/>
    <w:rsid w:val="00CD31C1"/>
    <w:rsid w:val="00CD40A4"/>
    <w:rsid w:val="00CD4704"/>
    <w:rsid w:val="00CD4B3B"/>
    <w:rsid w:val="00CD5401"/>
    <w:rsid w:val="00CD68DD"/>
    <w:rsid w:val="00CD6C94"/>
    <w:rsid w:val="00CD78AA"/>
    <w:rsid w:val="00CD7B8B"/>
    <w:rsid w:val="00CE2B04"/>
    <w:rsid w:val="00CE5298"/>
    <w:rsid w:val="00CE58EB"/>
    <w:rsid w:val="00CE5D21"/>
    <w:rsid w:val="00CE643F"/>
    <w:rsid w:val="00CE6A32"/>
    <w:rsid w:val="00CF171F"/>
    <w:rsid w:val="00CF20D6"/>
    <w:rsid w:val="00CF35B2"/>
    <w:rsid w:val="00CF38D4"/>
    <w:rsid w:val="00CF6BB9"/>
    <w:rsid w:val="00D00DAA"/>
    <w:rsid w:val="00D0316E"/>
    <w:rsid w:val="00D03F31"/>
    <w:rsid w:val="00D045FD"/>
    <w:rsid w:val="00D04A97"/>
    <w:rsid w:val="00D073A5"/>
    <w:rsid w:val="00D07C81"/>
    <w:rsid w:val="00D1193D"/>
    <w:rsid w:val="00D13D8B"/>
    <w:rsid w:val="00D149AD"/>
    <w:rsid w:val="00D1584C"/>
    <w:rsid w:val="00D159F8"/>
    <w:rsid w:val="00D16182"/>
    <w:rsid w:val="00D1637D"/>
    <w:rsid w:val="00D17CFB"/>
    <w:rsid w:val="00D206FF"/>
    <w:rsid w:val="00D20ED6"/>
    <w:rsid w:val="00D226B9"/>
    <w:rsid w:val="00D22FCD"/>
    <w:rsid w:val="00D23437"/>
    <w:rsid w:val="00D2381C"/>
    <w:rsid w:val="00D23A94"/>
    <w:rsid w:val="00D2459A"/>
    <w:rsid w:val="00D248D9"/>
    <w:rsid w:val="00D24CD7"/>
    <w:rsid w:val="00D25DB5"/>
    <w:rsid w:val="00D261E9"/>
    <w:rsid w:val="00D27131"/>
    <w:rsid w:val="00D308F6"/>
    <w:rsid w:val="00D30F38"/>
    <w:rsid w:val="00D31363"/>
    <w:rsid w:val="00D31482"/>
    <w:rsid w:val="00D31BBD"/>
    <w:rsid w:val="00D32BBA"/>
    <w:rsid w:val="00D35BAA"/>
    <w:rsid w:val="00D3650E"/>
    <w:rsid w:val="00D377AE"/>
    <w:rsid w:val="00D404B1"/>
    <w:rsid w:val="00D43988"/>
    <w:rsid w:val="00D44B46"/>
    <w:rsid w:val="00D44BDE"/>
    <w:rsid w:val="00D457D6"/>
    <w:rsid w:val="00D46109"/>
    <w:rsid w:val="00D4707E"/>
    <w:rsid w:val="00D47867"/>
    <w:rsid w:val="00D47EAF"/>
    <w:rsid w:val="00D50E46"/>
    <w:rsid w:val="00D51552"/>
    <w:rsid w:val="00D5270E"/>
    <w:rsid w:val="00D52D7F"/>
    <w:rsid w:val="00D52F8D"/>
    <w:rsid w:val="00D53034"/>
    <w:rsid w:val="00D5331B"/>
    <w:rsid w:val="00D54EC5"/>
    <w:rsid w:val="00D55A05"/>
    <w:rsid w:val="00D5654D"/>
    <w:rsid w:val="00D61A9F"/>
    <w:rsid w:val="00D61EDD"/>
    <w:rsid w:val="00D628AF"/>
    <w:rsid w:val="00D6294B"/>
    <w:rsid w:val="00D6435C"/>
    <w:rsid w:val="00D6626E"/>
    <w:rsid w:val="00D66697"/>
    <w:rsid w:val="00D675E9"/>
    <w:rsid w:val="00D67684"/>
    <w:rsid w:val="00D67ACA"/>
    <w:rsid w:val="00D67F69"/>
    <w:rsid w:val="00D7072E"/>
    <w:rsid w:val="00D70737"/>
    <w:rsid w:val="00D71103"/>
    <w:rsid w:val="00D72420"/>
    <w:rsid w:val="00D72CD8"/>
    <w:rsid w:val="00D73AF1"/>
    <w:rsid w:val="00D74504"/>
    <w:rsid w:val="00D74639"/>
    <w:rsid w:val="00D74E9D"/>
    <w:rsid w:val="00D75D51"/>
    <w:rsid w:val="00D8093F"/>
    <w:rsid w:val="00D809B7"/>
    <w:rsid w:val="00D813B0"/>
    <w:rsid w:val="00D81A57"/>
    <w:rsid w:val="00D823F0"/>
    <w:rsid w:val="00D82A4C"/>
    <w:rsid w:val="00D844E7"/>
    <w:rsid w:val="00D85683"/>
    <w:rsid w:val="00D86FE4"/>
    <w:rsid w:val="00D87E48"/>
    <w:rsid w:val="00D90435"/>
    <w:rsid w:val="00D90F8A"/>
    <w:rsid w:val="00D91621"/>
    <w:rsid w:val="00D930E8"/>
    <w:rsid w:val="00D9553A"/>
    <w:rsid w:val="00D971AA"/>
    <w:rsid w:val="00D9740F"/>
    <w:rsid w:val="00D97BA1"/>
    <w:rsid w:val="00DA09FC"/>
    <w:rsid w:val="00DA0C3D"/>
    <w:rsid w:val="00DA2233"/>
    <w:rsid w:val="00DA4B71"/>
    <w:rsid w:val="00DA59D2"/>
    <w:rsid w:val="00DA5D6F"/>
    <w:rsid w:val="00DA6D9A"/>
    <w:rsid w:val="00DB02B4"/>
    <w:rsid w:val="00DB0456"/>
    <w:rsid w:val="00DB0478"/>
    <w:rsid w:val="00DB1188"/>
    <w:rsid w:val="00DB2B7E"/>
    <w:rsid w:val="00DB323D"/>
    <w:rsid w:val="00DB32EF"/>
    <w:rsid w:val="00DB36D2"/>
    <w:rsid w:val="00DB5719"/>
    <w:rsid w:val="00DB624E"/>
    <w:rsid w:val="00DC02EA"/>
    <w:rsid w:val="00DC1CA6"/>
    <w:rsid w:val="00DC20CF"/>
    <w:rsid w:val="00DC2259"/>
    <w:rsid w:val="00DC717F"/>
    <w:rsid w:val="00DC77BF"/>
    <w:rsid w:val="00DC789B"/>
    <w:rsid w:val="00DC7E69"/>
    <w:rsid w:val="00DD3308"/>
    <w:rsid w:val="00DD3316"/>
    <w:rsid w:val="00DD3463"/>
    <w:rsid w:val="00DD38FE"/>
    <w:rsid w:val="00DD48F9"/>
    <w:rsid w:val="00DD4C67"/>
    <w:rsid w:val="00DD5ADD"/>
    <w:rsid w:val="00DD5E57"/>
    <w:rsid w:val="00DD6F16"/>
    <w:rsid w:val="00DE3385"/>
    <w:rsid w:val="00DE3608"/>
    <w:rsid w:val="00DE4638"/>
    <w:rsid w:val="00DE4651"/>
    <w:rsid w:val="00DE6200"/>
    <w:rsid w:val="00DE63C4"/>
    <w:rsid w:val="00DE7265"/>
    <w:rsid w:val="00DE7525"/>
    <w:rsid w:val="00DF163A"/>
    <w:rsid w:val="00DF1791"/>
    <w:rsid w:val="00DF2353"/>
    <w:rsid w:val="00DF2FC3"/>
    <w:rsid w:val="00DF3AB2"/>
    <w:rsid w:val="00DF67A1"/>
    <w:rsid w:val="00E00898"/>
    <w:rsid w:val="00E03398"/>
    <w:rsid w:val="00E040D7"/>
    <w:rsid w:val="00E0628E"/>
    <w:rsid w:val="00E06460"/>
    <w:rsid w:val="00E073CF"/>
    <w:rsid w:val="00E14BCA"/>
    <w:rsid w:val="00E14EE9"/>
    <w:rsid w:val="00E1605A"/>
    <w:rsid w:val="00E17F53"/>
    <w:rsid w:val="00E23AF4"/>
    <w:rsid w:val="00E24195"/>
    <w:rsid w:val="00E24EC1"/>
    <w:rsid w:val="00E25124"/>
    <w:rsid w:val="00E25239"/>
    <w:rsid w:val="00E261F8"/>
    <w:rsid w:val="00E2637D"/>
    <w:rsid w:val="00E27467"/>
    <w:rsid w:val="00E278BB"/>
    <w:rsid w:val="00E30C51"/>
    <w:rsid w:val="00E324AD"/>
    <w:rsid w:val="00E3342D"/>
    <w:rsid w:val="00E33683"/>
    <w:rsid w:val="00E33734"/>
    <w:rsid w:val="00E3601E"/>
    <w:rsid w:val="00E36F56"/>
    <w:rsid w:val="00E40AEB"/>
    <w:rsid w:val="00E412D6"/>
    <w:rsid w:val="00E422C4"/>
    <w:rsid w:val="00E433FF"/>
    <w:rsid w:val="00E439F8"/>
    <w:rsid w:val="00E44467"/>
    <w:rsid w:val="00E44C54"/>
    <w:rsid w:val="00E44CD4"/>
    <w:rsid w:val="00E45B91"/>
    <w:rsid w:val="00E46606"/>
    <w:rsid w:val="00E46C57"/>
    <w:rsid w:val="00E50533"/>
    <w:rsid w:val="00E50941"/>
    <w:rsid w:val="00E50B08"/>
    <w:rsid w:val="00E5176B"/>
    <w:rsid w:val="00E525D3"/>
    <w:rsid w:val="00E528BA"/>
    <w:rsid w:val="00E54DF1"/>
    <w:rsid w:val="00E55484"/>
    <w:rsid w:val="00E5635A"/>
    <w:rsid w:val="00E565C2"/>
    <w:rsid w:val="00E60269"/>
    <w:rsid w:val="00E60C32"/>
    <w:rsid w:val="00E61968"/>
    <w:rsid w:val="00E627F6"/>
    <w:rsid w:val="00E63F1D"/>
    <w:rsid w:val="00E64171"/>
    <w:rsid w:val="00E64226"/>
    <w:rsid w:val="00E646D5"/>
    <w:rsid w:val="00E66019"/>
    <w:rsid w:val="00E72173"/>
    <w:rsid w:val="00E72EC2"/>
    <w:rsid w:val="00E753AA"/>
    <w:rsid w:val="00E75A9D"/>
    <w:rsid w:val="00E76513"/>
    <w:rsid w:val="00E803C3"/>
    <w:rsid w:val="00E80872"/>
    <w:rsid w:val="00E815E5"/>
    <w:rsid w:val="00E81B8E"/>
    <w:rsid w:val="00E81ED7"/>
    <w:rsid w:val="00E8219D"/>
    <w:rsid w:val="00E82D6C"/>
    <w:rsid w:val="00E83201"/>
    <w:rsid w:val="00E8377F"/>
    <w:rsid w:val="00E83F05"/>
    <w:rsid w:val="00E8607A"/>
    <w:rsid w:val="00E87631"/>
    <w:rsid w:val="00E87D52"/>
    <w:rsid w:val="00E9222C"/>
    <w:rsid w:val="00E94512"/>
    <w:rsid w:val="00E9558B"/>
    <w:rsid w:val="00E95D1B"/>
    <w:rsid w:val="00E9623E"/>
    <w:rsid w:val="00E969F0"/>
    <w:rsid w:val="00EA124A"/>
    <w:rsid w:val="00EA2C7E"/>
    <w:rsid w:val="00EA2EFA"/>
    <w:rsid w:val="00EA2F45"/>
    <w:rsid w:val="00EA32BF"/>
    <w:rsid w:val="00EA50D6"/>
    <w:rsid w:val="00EA5714"/>
    <w:rsid w:val="00EA62D8"/>
    <w:rsid w:val="00EA7662"/>
    <w:rsid w:val="00EB016F"/>
    <w:rsid w:val="00EB0798"/>
    <w:rsid w:val="00EB07AD"/>
    <w:rsid w:val="00EB1875"/>
    <w:rsid w:val="00EB33F4"/>
    <w:rsid w:val="00EB3B9C"/>
    <w:rsid w:val="00EB3EB9"/>
    <w:rsid w:val="00EB4050"/>
    <w:rsid w:val="00EB4242"/>
    <w:rsid w:val="00EB44BE"/>
    <w:rsid w:val="00EB4C04"/>
    <w:rsid w:val="00EB53A7"/>
    <w:rsid w:val="00EB7C4B"/>
    <w:rsid w:val="00EC0BAD"/>
    <w:rsid w:val="00EC1406"/>
    <w:rsid w:val="00EC2677"/>
    <w:rsid w:val="00EC3398"/>
    <w:rsid w:val="00EC36F2"/>
    <w:rsid w:val="00EC40B3"/>
    <w:rsid w:val="00EC48D7"/>
    <w:rsid w:val="00EC4F33"/>
    <w:rsid w:val="00ED10A0"/>
    <w:rsid w:val="00ED11C5"/>
    <w:rsid w:val="00ED1924"/>
    <w:rsid w:val="00ED1E35"/>
    <w:rsid w:val="00ED2DB6"/>
    <w:rsid w:val="00ED48EA"/>
    <w:rsid w:val="00ED4FB2"/>
    <w:rsid w:val="00ED507D"/>
    <w:rsid w:val="00ED66B7"/>
    <w:rsid w:val="00EE16CA"/>
    <w:rsid w:val="00EE3270"/>
    <w:rsid w:val="00EE32D0"/>
    <w:rsid w:val="00EE36EF"/>
    <w:rsid w:val="00EE4C7E"/>
    <w:rsid w:val="00EE51DB"/>
    <w:rsid w:val="00EE556D"/>
    <w:rsid w:val="00EE6128"/>
    <w:rsid w:val="00EE6184"/>
    <w:rsid w:val="00EE6A99"/>
    <w:rsid w:val="00EE7A2C"/>
    <w:rsid w:val="00EF0472"/>
    <w:rsid w:val="00EF2240"/>
    <w:rsid w:val="00EF3482"/>
    <w:rsid w:val="00EF42C8"/>
    <w:rsid w:val="00EF4FF9"/>
    <w:rsid w:val="00EF6556"/>
    <w:rsid w:val="00F006D1"/>
    <w:rsid w:val="00F012A8"/>
    <w:rsid w:val="00F0319D"/>
    <w:rsid w:val="00F04472"/>
    <w:rsid w:val="00F11979"/>
    <w:rsid w:val="00F12D86"/>
    <w:rsid w:val="00F13B05"/>
    <w:rsid w:val="00F14A46"/>
    <w:rsid w:val="00F15AF2"/>
    <w:rsid w:val="00F178AB"/>
    <w:rsid w:val="00F21290"/>
    <w:rsid w:val="00F214AA"/>
    <w:rsid w:val="00F2214E"/>
    <w:rsid w:val="00F23E19"/>
    <w:rsid w:val="00F2494D"/>
    <w:rsid w:val="00F26092"/>
    <w:rsid w:val="00F26577"/>
    <w:rsid w:val="00F307CC"/>
    <w:rsid w:val="00F30BBA"/>
    <w:rsid w:val="00F31630"/>
    <w:rsid w:val="00F3322B"/>
    <w:rsid w:val="00F339FC"/>
    <w:rsid w:val="00F34C99"/>
    <w:rsid w:val="00F34F77"/>
    <w:rsid w:val="00F42996"/>
    <w:rsid w:val="00F439BB"/>
    <w:rsid w:val="00F449D7"/>
    <w:rsid w:val="00F45292"/>
    <w:rsid w:val="00F45F50"/>
    <w:rsid w:val="00F461AE"/>
    <w:rsid w:val="00F51106"/>
    <w:rsid w:val="00F51B88"/>
    <w:rsid w:val="00F534D3"/>
    <w:rsid w:val="00F53B28"/>
    <w:rsid w:val="00F54046"/>
    <w:rsid w:val="00F5421D"/>
    <w:rsid w:val="00F5473E"/>
    <w:rsid w:val="00F54990"/>
    <w:rsid w:val="00F60DF3"/>
    <w:rsid w:val="00F62057"/>
    <w:rsid w:val="00F6470F"/>
    <w:rsid w:val="00F64DC6"/>
    <w:rsid w:val="00F65BCB"/>
    <w:rsid w:val="00F67C01"/>
    <w:rsid w:val="00F7114B"/>
    <w:rsid w:val="00F721EF"/>
    <w:rsid w:val="00F72599"/>
    <w:rsid w:val="00F72AC2"/>
    <w:rsid w:val="00F72B1D"/>
    <w:rsid w:val="00F74168"/>
    <w:rsid w:val="00F742F1"/>
    <w:rsid w:val="00F747FA"/>
    <w:rsid w:val="00F76037"/>
    <w:rsid w:val="00F77724"/>
    <w:rsid w:val="00F77839"/>
    <w:rsid w:val="00F811B9"/>
    <w:rsid w:val="00F8244B"/>
    <w:rsid w:val="00F8285E"/>
    <w:rsid w:val="00F82C7C"/>
    <w:rsid w:val="00F82F75"/>
    <w:rsid w:val="00F9046B"/>
    <w:rsid w:val="00F91164"/>
    <w:rsid w:val="00F92B0F"/>
    <w:rsid w:val="00F93FCF"/>
    <w:rsid w:val="00F9536B"/>
    <w:rsid w:val="00F96825"/>
    <w:rsid w:val="00F96872"/>
    <w:rsid w:val="00F96D24"/>
    <w:rsid w:val="00FA03F3"/>
    <w:rsid w:val="00FA5580"/>
    <w:rsid w:val="00FA69C3"/>
    <w:rsid w:val="00FA6AAC"/>
    <w:rsid w:val="00FA6CBC"/>
    <w:rsid w:val="00FA6D48"/>
    <w:rsid w:val="00FA6F39"/>
    <w:rsid w:val="00FA7813"/>
    <w:rsid w:val="00FA7EC0"/>
    <w:rsid w:val="00FA7ECF"/>
    <w:rsid w:val="00FB692F"/>
    <w:rsid w:val="00FC072E"/>
    <w:rsid w:val="00FC1C6F"/>
    <w:rsid w:val="00FC40D7"/>
    <w:rsid w:val="00FC4165"/>
    <w:rsid w:val="00FC4FCD"/>
    <w:rsid w:val="00FC510F"/>
    <w:rsid w:val="00FC551E"/>
    <w:rsid w:val="00FC5790"/>
    <w:rsid w:val="00FC6617"/>
    <w:rsid w:val="00FD039F"/>
    <w:rsid w:val="00FD03BF"/>
    <w:rsid w:val="00FD0835"/>
    <w:rsid w:val="00FD1995"/>
    <w:rsid w:val="00FD25E1"/>
    <w:rsid w:val="00FD32CB"/>
    <w:rsid w:val="00FD4401"/>
    <w:rsid w:val="00FD4BE4"/>
    <w:rsid w:val="00FD5E1C"/>
    <w:rsid w:val="00FD6327"/>
    <w:rsid w:val="00FD70B0"/>
    <w:rsid w:val="00FE1880"/>
    <w:rsid w:val="00FE3F8E"/>
    <w:rsid w:val="00FE47ED"/>
    <w:rsid w:val="00FE5D3E"/>
    <w:rsid w:val="00FE61DC"/>
    <w:rsid w:val="00FE67D0"/>
    <w:rsid w:val="00FE6D54"/>
    <w:rsid w:val="00FF081E"/>
    <w:rsid w:val="00FF1187"/>
    <w:rsid w:val="00FF12D4"/>
    <w:rsid w:val="00FF145C"/>
    <w:rsid w:val="00FF242B"/>
    <w:rsid w:val="00FF26EE"/>
    <w:rsid w:val="00FF3102"/>
    <w:rsid w:val="00FF47A3"/>
    <w:rsid w:val="00FF738C"/>
    <w:rsid w:val="00FF78B8"/>
    <w:rsid w:val="1B6D0612"/>
    <w:rsid w:val="22445F59"/>
    <w:rsid w:val="23054337"/>
    <w:rsid w:val="24AB40DB"/>
    <w:rsid w:val="26D878A7"/>
    <w:rsid w:val="34BE4259"/>
    <w:rsid w:val="3A2E15B2"/>
    <w:rsid w:val="3B364DCD"/>
    <w:rsid w:val="3FE95687"/>
    <w:rsid w:val="42362878"/>
    <w:rsid w:val="45F40DB2"/>
    <w:rsid w:val="523A0E8A"/>
    <w:rsid w:val="5C191364"/>
    <w:rsid w:val="5EDE48E2"/>
    <w:rsid w:val="65791811"/>
    <w:rsid w:val="692E0FAB"/>
    <w:rsid w:val="698D7C2A"/>
    <w:rsid w:val="6F785678"/>
    <w:rsid w:val="72B655C1"/>
    <w:rsid w:val="72EF3AA3"/>
    <w:rsid w:val="77705415"/>
    <w:rsid w:val="78073379"/>
    <w:rsid w:val="7FFE1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39"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8"/>
    <w:qFormat/>
    <w:uiPriority w:val="0"/>
    <w:pPr>
      <w:spacing w:before="340" w:after="330" w:line="360" w:lineRule="auto"/>
      <w:jc w:val="center"/>
      <w:outlineLvl w:val="0"/>
    </w:pPr>
    <w:rPr>
      <w:rFonts w:eastAsia="黑体"/>
      <w:b w:val="0"/>
      <w:bCs w:val="0"/>
      <w:kern w:val="44"/>
      <w:sz w:val="48"/>
      <w:szCs w:val="48"/>
    </w:rPr>
  </w:style>
  <w:style w:type="paragraph" w:styleId="5">
    <w:name w:val="heading 2"/>
    <w:basedOn w:val="3"/>
    <w:next w:val="4"/>
    <w:link w:val="97"/>
    <w:qFormat/>
    <w:uiPriority w:val="0"/>
    <w:pPr>
      <w:adjustRightInd w:val="0"/>
      <w:jc w:val="center"/>
      <w:textAlignment w:val="baseline"/>
      <w:outlineLvl w:val="1"/>
    </w:pPr>
    <w:rPr>
      <w:bCs w:val="0"/>
      <w:kern w:val="0"/>
      <w:sz w:val="24"/>
      <w:szCs w:val="20"/>
    </w:rPr>
  </w:style>
  <w:style w:type="paragraph" w:styleId="3">
    <w:name w:val="heading 3"/>
    <w:basedOn w:val="4"/>
    <w:next w:val="1"/>
    <w:link w:val="67"/>
    <w:qFormat/>
    <w:uiPriority w:val="0"/>
    <w:pPr>
      <w:spacing w:before="260" w:after="260" w:line="240" w:lineRule="auto"/>
      <w:outlineLvl w:val="2"/>
    </w:pPr>
    <w:rPr>
      <w:rFonts w:ascii="宋体" w:hAnsi="宋体" w:eastAsia="宋体"/>
      <w:szCs w:val="32"/>
    </w:rPr>
  </w:style>
  <w:style w:type="paragraph" w:styleId="4">
    <w:name w:val="heading 4"/>
    <w:basedOn w:val="1"/>
    <w:next w:val="1"/>
    <w:link w:val="6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qFormat/>
    <w:uiPriority w:val="0"/>
    <w:pPr>
      <w:keepNext/>
      <w:keepLines/>
      <w:spacing w:before="280" w:after="290" w:line="376" w:lineRule="auto"/>
      <w:outlineLvl w:val="4"/>
    </w:pPr>
    <w:rPr>
      <w:b/>
      <w:sz w:val="28"/>
      <w:szCs w:val="20"/>
    </w:rPr>
  </w:style>
  <w:style w:type="paragraph" w:styleId="8">
    <w:name w:val="heading 6"/>
    <w:basedOn w:val="1"/>
    <w:next w:val="7"/>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qFormat/>
    <w:uiPriority w:val="0"/>
    <w:pPr>
      <w:keepNext/>
      <w:keepLines/>
      <w:spacing w:before="240" w:after="64" w:line="320" w:lineRule="auto"/>
      <w:outlineLvl w:val="6"/>
    </w:pPr>
    <w:rPr>
      <w:b/>
      <w:sz w:val="24"/>
      <w:szCs w:val="20"/>
    </w:rPr>
  </w:style>
  <w:style w:type="paragraph" w:styleId="10">
    <w:name w:val="heading 8"/>
    <w:basedOn w:val="1"/>
    <w:next w:val="7"/>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qFormat/>
    <w:uiPriority w:val="0"/>
    <w:pPr>
      <w:keepNext/>
      <w:keepLines/>
      <w:spacing w:before="240" w:after="64" w:line="320" w:lineRule="auto"/>
      <w:outlineLvl w:val="8"/>
    </w:pPr>
    <w:rPr>
      <w:rFonts w:ascii="Arial" w:hAnsi="Arial" w:eastAsia="黑体"/>
      <w:szCs w:val="20"/>
    </w:rPr>
  </w:style>
  <w:style w:type="character" w:default="1" w:styleId="58">
    <w:name w:val="Default Paragraph Font"/>
    <w:semiHidden/>
    <w:unhideWhenUsed/>
    <w:qFormat/>
    <w:uiPriority w:val="1"/>
  </w:style>
  <w:style w:type="table" w:default="1" w:styleId="54">
    <w:name w:val="Normal Table"/>
    <w:semiHidden/>
    <w:unhideWhenUsed/>
    <w:uiPriority w:val="99"/>
    <w:tblPr>
      <w:tblCellMar>
        <w:top w:w="0" w:type="dxa"/>
        <w:left w:w="108" w:type="dxa"/>
        <w:bottom w:w="0" w:type="dxa"/>
        <w:right w:w="108" w:type="dxa"/>
      </w:tblCellMar>
    </w:tblPr>
  </w:style>
  <w:style w:type="paragraph" w:styleId="7">
    <w:name w:val="Normal Indent"/>
    <w:basedOn w:val="1"/>
    <w:link w:val="69"/>
    <w:qFormat/>
    <w:uiPriority w:val="0"/>
    <w:pPr>
      <w:ind w:firstLine="42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semiHidden/>
    <w:uiPriority w:val="0"/>
    <w:pPr>
      <w:ind w:left="1260"/>
      <w:jc w:val="left"/>
    </w:pPr>
    <w:rPr>
      <w:szCs w:val="21"/>
    </w:rPr>
  </w:style>
  <w:style w:type="paragraph" w:styleId="14">
    <w:name w:val="List Bullet 4"/>
    <w:basedOn w:val="1"/>
    <w:qFormat/>
    <w:uiPriority w:val="0"/>
    <w:pPr>
      <w:tabs>
        <w:tab w:val="left" w:pos="1620"/>
      </w:tabs>
      <w:ind w:left="1620" w:leftChars="600" w:hanging="360" w:hangingChars="200"/>
    </w:pPr>
  </w:style>
  <w:style w:type="paragraph" w:styleId="15">
    <w:name w:val="caption"/>
    <w:basedOn w:val="1"/>
    <w:next w:val="1"/>
    <w:qFormat/>
    <w:uiPriority w:val="0"/>
    <w:pPr>
      <w:adjustRightInd w:val="0"/>
      <w:spacing w:before="152" w:after="160" w:line="312" w:lineRule="atLeast"/>
      <w:textAlignment w:val="baseline"/>
    </w:pPr>
    <w:rPr>
      <w:rFonts w:ascii="Arial" w:hAnsi="Arial" w:eastAsia="黑体"/>
      <w:b/>
      <w:kern w:val="0"/>
      <w:szCs w:val="20"/>
    </w:rPr>
  </w:style>
  <w:style w:type="paragraph" w:styleId="16">
    <w:name w:val="List Bullet"/>
    <w:basedOn w:val="1"/>
    <w:qFormat/>
    <w:uiPriority w:val="0"/>
    <w:pPr>
      <w:numPr>
        <w:ilvl w:val="0"/>
        <w:numId w:val="1"/>
      </w:numPr>
    </w:pPr>
    <w:rPr>
      <w:szCs w:val="20"/>
    </w:rPr>
  </w:style>
  <w:style w:type="paragraph" w:styleId="17">
    <w:name w:val="Document Map"/>
    <w:basedOn w:val="1"/>
    <w:link w:val="184"/>
    <w:semiHidden/>
    <w:qFormat/>
    <w:uiPriority w:val="0"/>
    <w:pPr>
      <w:shd w:val="clear" w:color="auto" w:fill="000080"/>
    </w:pPr>
  </w:style>
  <w:style w:type="paragraph" w:styleId="18">
    <w:name w:val="annotation text"/>
    <w:basedOn w:val="1"/>
    <w:link w:val="84"/>
    <w:qFormat/>
    <w:uiPriority w:val="0"/>
    <w:pPr>
      <w:autoSpaceDE w:val="0"/>
      <w:autoSpaceDN w:val="0"/>
      <w:adjustRightInd w:val="0"/>
      <w:jc w:val="left"/>
      <w:textAlignment w:val="baseline"/>
    </w:pPr>
    <w:rPr>
      <w:rFonts w:ascii="宋体"/>
      <w:kern w:val="0"/>
      <w:sz w:val="34"/>
      <w:szCs w:val="20"/>
    </w:rPr>
  </w:style>
  <w:style w:type="paragraph" w:styleId="19">
    <w:name w:val="index 6"/>
    <w:basedOn w:val="1"/>
    <w:next w:val="1"/>
    <w:qFormat/>
    <w:uiPriority w:val="0"/>
    <w:pPr>
      <w:ind w:left="1000" w:leftChars="1000"/>
    </w:pPr>
  </w:style>
  <w:style w:type="paragraph" w:styleId="20">
    <w:name w:val="Body Text 3"/>
    <w:basedOn w:val="1"/>
    <w:qFormat/>
    <w:uiPriority w:val="0"/>
    <w:pPr>
      <w:spacing w:after="120"/>
    </w:pPr>
    <w:rPr>
      <w:sz w:val="16"/>
      <w:szCs w:val="16"/>
    </w:rPr>
  </w:style>
  <w:style w:type="paragraph" w:styleId="21">
    <w:name w:val="List Bullet 3"/>
    <w:basedOn w:val="1"/>
    <w:qFormat/>
    <w:uiPriority w:val="0"/>
    <w:pPr>
      <w:tabs>
        <w:tab w:val="left" w:pos="1200"/>
      </w:tabs>
      <w:ind w:left="1200" w:leftChars="400" w:hanging="360" w:hangingChars="200"/>
    </w:pPr>
  </w:style>
  <w:style w:type="paragraph" w:styleId="22">
    <w:name w:val="Body Text"/>
    <w:basedOn w:val="1"/>
    <w:link w:val="113"/>
    <w:qFormat/>
    <w:uiPriority w:val="0"/>
    <w:pPr>
      <w:spacing w:line="360" w:lineRule="auto"/>
    </w:pPr>
    <w:rPr>
      <w:b/>
      <w:bCs/>
      <w:sz w:val="24"/>
    </w:rPr>
  </w:style>
  <w:style w:type="paragraph" w:styleId="23">
    <w:name w:val="Body Text Indent"/>
    <w:basedOn w:val="1"/>
    <w:link w:val="105"/>
    <w:qFormat/>
    <w:uiPriority w:val="0"/>
    <w:pPr>
      <w:spacing w:line="360" w:lineRule="auto"/>
      <w:ind w:firstLine="420" w:firstLineChars="200"/>
    </w:pPr>
  </w:style>
  <w:style w:type="paragraph" w:styleId="24">
    <w:name w:val="List 2"/>
    <w:basedOn w:val="25"/>
    <w:qFormat/>
    <w:uiPriority w:val="0"/>
    <w:pPr>
      <w:ind w:left="1080"/>
    </w:pPr>
  </w:style>
  <w:style w:type="paragraph" w:styleId="25">
    <w:name w:val="List"/>
    <w:basedOn w:val="22"/>
    <w:qFormat/>
    <w:uiPriority w:val="0"/>
    <w:pPr>
      <w:spacing w:after="220" w:line="220" w:lineRule="atLeast"/>
      <w:ind w:left="720" w:hanging="360"/>
    </w:pPr>
    <w:rPr>
      <w:b w:val="0"/>
      <w:bCs w:val="0"/>
      <w:sz w:val="21"/>
      <w:szCs w:val="20"/>
    </w:rPr>
  </w:style>
  <w:style w:type="paragraph" w:styleId="26">
    <w:name w:val="Block Text"/>
    <w:basedOn w:val="1"/>
    <w:qFormat/>
    <w:uiPriority w:val="0"/>
    <w:pPr>
      <w:spacing w:after="120"/>
      <w:ind w:left="1440" w:leftChars="700" w:right="1440" w:rightChars="700"/>
    </w:pPr>
  </w:style>
  <w:style w:type="paragraph" w:styleId="27">
    <w:name w:val="List Bullet 2"/>
    <w:basedOn w:val="1"/>
    <w:qFormat/>
    <w:uiPriority w:val="0"/>
    <w:pPr>
      <w:tabs>
        <w:tab w:val="left" w:pos="780"/>
      </w:tabs>
      <w:ind w:left="780" w:leftChars="200" w:hanging="360" w:hangingChars="200"/>
    </w:pPr>
  </w:style>
  <w:style w:type="paragraph" w:styleId="28">
    <w:name w:val="toc 5"/>
    <w:basedOn w:val="1"/>
    <w:next w:val="1"/>
    <w:semiHidden/>
    <w:qFormat/>
    <w:uiPriority w:val="0"/>
    <w:pPr>
      <w:ind w:left="840"/>
      <w:jc w:val="left"/>
    </w:pPr>
    <w:rPr>
      <w:szCs w:val="21"/>
    </w:rPr>
  </w:style>
  <w:style w:type="paragraph" w:styleId="29">
    <w:name w:val="toc 3"/>
    <w:basedOn w:val="1"/>
    <w:next w:val="1"/>
    <w:semiHidden/>
    <w:qFormat/>
    <w:uiPriority w:val="39"/>
    <w:pPr>
      <w:ind w:left="420"/>
      <w:jc w:val="left"/>
    </w:pPr>
    <w:rPr>
      <w:i/>
      <w:iCs/>
    </w:rPr>
  </w:style>
  <w:style w:type="paragraph" w:styleId="30">
    <w:name w:val="Plain Text"/>
    <w:basedOn w:val="1"/>
    <w:link w:val="92"/>
    <w:qFormat/>
    <w:uiPriority w:val="0"/>
    <w:rPr>
      <w:rFonts w:ascii="宋体" w:hAnsi="Courier New"/>
      <w:szCs w:val="20"/>
    </w:rPr>
  </w:style>
  <w:style w:type="paragraph" w:styleId="31">
    <w:name w:val="List Bullet 5"/>
    <w:basedOn w:val="1"/>
    <w:uiPriority w:val="0"/>
    <w:pPr>
      <w:tabs>
        <w:tab w:val="left" w:pos="2040"/>
      </w:tabs>
      <w:ind w:left="2040" w:leftChars="800" w:hanging="360" w:hangingChars="200"/>
    </w:pPr>
  </w:style>
  <w:style w:type="paragraph" w:styleId="32">
    <w:name w:val="toc 8"/>
    <w:basedOn w:val="1"/>
    <w:next w:val="1"/>
    <w:semiHidden/>
    <w:qFormat/>
    <w:uiPriority w:val="0"/>
    <w:pPr>
      <w:ind w:left="1470"/>
      <w:jc w:val="left"/>
    </w:pPr>
    <w:rPr>
      <w:szCs w:val="21"/>
    </w:rPr>
  </w:style>
  <w:style w:type="paragraph" w:styleId="33">
    <w:name w:val="Date"/>
    <w:basedOn w:val="1"/>
    <w:next w:val="1"/>
    <w:qFormat/>
    <w:uiPriority w:val="0"/>
    <w:rPr>
      <w:rFonts w:ascii="宋体" w:hAnsi="Courier New"/>
      <w:sz w:val="32"/>
      <w:szCs w:val="20"/>
    </w:rPr>
  </w:style>
  <w:style w:type="paragraph" w:styleId="34">
    <w:name w:val="Body Text Indent 2"/>
    <w:basedOn w:val="1"/>
    <w:qFormat/>
    <w:uiPriority w:val="0"/>
    <w:pPr>
      <w:spacing w:before="156" w:beforeLines="50" w:after="156" w:afterLines="50" w:line="120" w:lineRule="auto"/>
      <w:ind w:firstLine="840" w:firstLineChars="400"/>
      <w:jc w:val="left"/>
    </w:pPr>
    <w:rPr>
      <w:rFonts w:ascii="宋体" w:hAnsi="宋体"/>
    </w:rPr>
  </w:style>
  <w:style w:type="paragraph" w:styleId="35">
    <w:name w:val="Balloon Text"/>
    <w:basedOn w:val="1"/>
    <w:link w:val="98"/>
    <w:qFormat/>
    <w:uiPriority w:val="0"/>
    <w:rPr>
      <w:sz w:val="18"/>
      <w:szCs w:val="18"/>
    </w:rPr>
  </w:style>
  <w:style w:type="paragraph" w:styleId="36">
    <w:name w:val="footer"/>
    <w:basedOn w:val="1"/>
    <w:link w:val="101"/>
    <w:qFormat/>
    <w:uiPriority w:val="0"/>
    <w:pPr>
      <w:tabs>
        <w:tab w:val="center" w:pos="4153"/>
        <w:tab w:val="right" w:pos="8306"/>
      </w:tabs>
      <w:snapToGrid w:val="0"/>
      <w:jc w:val="left"/>
    </w:pPr>
    <w:rPr>
      <w:sz w:val="18"/>
      <w:szCs w:val="18"/>
    </w:rPr>
  </w:style>
  <w:style w:type="paragraph" w:styleId="37">
    <w:name w:val="header"/>
    <w:basedOn w:val="1"/>
    <w:link w:val="87"/>
    <w:qFormat/>
    <w:uiPriority w:val="0"/>
    <w:pPr>
      <w:pBdr>
        <w:bottom w:val="single" w:color="auto" w:sz="6" w:space="1"/>
      </w:pBdr>
      <w:tabs>
        <w:tab w:val="center" w:pos="4153"/>
        <w:tab w:val="right" w:pos="8306"/>
      </w:tabs>
      <w:snapToGrid w:val="0"/>
      <w:jc w:val="center"/>
    </w:pPr>
    <w:rPr>
      <w:sz w:val="18"/>
      <w:szCs w:val="18"/>
    </w:rPr>
  </w:style>
  <w:style w:type="paragraph" w:styleId="38">
    <w:name w:val="toc 1"/>
    <w:basedOn w:val="1"/>
    <w:next w:val="1"/>
    <w:semiHidden/>
    <w:qFormat/>
    <w:uiPriority w:val="0"/>
    <w:pPr>
      <w:spacing w:before="120" w:after="120"/>
      <w:jc w:val="left"/>
    </w:pPr>
    <w:rPr>
      <w:b/>
      <w:bCs/>
      <w:caps/>
    </w:rPr>
  </w:style>
  <w:style w:type="paragraph" w:styleId="39">
    <w:name w:val="toc 4"/>
    <w:basedOn w:val="1"/>
    <w:next w:val="1"/>
    <w:semiHidden/>
    <w:qFormat/>
    <w:uiPriority w:val="0"/>
    <w:pPr>
      <w:ind w:left="630"/>
      <w:jc w:val="left"/>
    </w:pPr>
    <w:rPr>
      <w:szCs w:val="21"/>
    </w:rPr>
  </w:style>
  <w:style w:type="paragraph" w:styleId="40">
    <w:name w:val="index heading"/>
    <w:basedOn w:val="1"/>
    <w:next w:val="41"/>
    <w:qFormat/>
    <w:uiPriority w:val="0"/>
  </w:style>
  <w:style w:type="paragraph" w:styleId="41">
    <w:name w:val="index 1"/>
    <w:basedOn w:val="1"/>
    <w:next w:val="1"/>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42">
    <w:name w:val="toc 6"/>
    <w:basedOn w:val="1"/>
    <w:next w:val="1"/>
    <w:semiHidden/>
    <w:qFormat/>
    <w:uiPriority w:val="0"/>
    <w:pPr>
      <w:ind w:left="1050"/>
      <w:jc w:val="left"/>
    </w:pPr>
    <w:rPr>
      <w:szCs w:val="21"/>
    </w:rPr>
  </w:style>
  <w:style w:type="paragraph" w:styleId="43">
    <w:name w:val="Body Text Indent 3"/>
    <w:basedOn w:val="1"/>
    <w:qFormat/>
    <w:uiPriority w:val="0"/>
    <w:pPr>
      <w:spacing w:line="360" w:lineRule="auto"/>
      <w:ind w:firstLine="482" w:firstLineChars="200"/>
    </w:pPr>
    <w:rPr>
      <w:rFonts w:ascii="宋体"/>
      <w:b/>
      <w:bCs/>
      <w:sz w:val="24"/>
    </w:rPr>
  </w:style>
  <w:style w:type="paragraph" w:styleId="44">
    <w:name w:val="toc 2"/>
    <w:basedOn w:val="1"/>
    <w:next w:val="1"/>
    <w:semiHidden/>
    <w:qFormat/>
    <w:uiPriority w:val="0"/>
    <w:pPr>
      <w:tabs>
        <w:tab w:val="right" w:leader="dot" w:pos="8296"/>
      </w:tabs>
      <w:ind w:left="210"/>
      <w:jc w:val="left"/>
    </w:pPr>
    <w:rPr>
      <w:smallCaps/>
    </w:rPr>
  </w:style>
  <w:style w:type="paragraph" w:styleId="45">
    <w:name w:val="toc 9"/>
    <w:basedOn w:val="1"/>
    <w:next w:val="1"/>
    <w:semiHidden/>
    <w:uiPriority w:val="0"/>
    <w:pPr>
      <w:ind w:left="1680"/>
      <w:jc w:val="left"/>
    </w:pPr>
    <w:rPr>
      <w:szCs w:val="21"/>
    </w:rPr>
  </w:style>
  <w:style w:type="paragraph" w:styleId="46">
    <w:name w:val="Body Text 2"/>
    <w:basedOn w:val="1"/>
    <w:qFormat/>
    <w:uiPriority w:val="0"/>
    <w:pPr>
      <w:spacing w:line="360" w:lineRule="auto"/>
    </w:pPr>
    <w:rPr>
      <w:sz w:val="24"/>
    </w:rPr>
  </w:style>
  <w:style w:type="paragraph" w:styleId="4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Unicode MS" w:hAnsi="Arial Unicode MS" w:eastAsia="Arial Unicode MS"/>
      <w:color w:val="000000"/>
      <w:kern w:val="0"/>
      <w:sz w:val="20"/>
      <w:szCs w:val="20"/>
    </w:rPr>
  </w:style>
  <w:style w:type="paragraph" w:styleId="48">
    <w:name w:val="Normal (Web)"/>
    <w:basedOn w:val="1"/>
    <w:qFormat/>
    <w:uiPriority w:val="0"/>
    <w:pPr>
      <w:spacing w:beforeAutospacing="1" w:afterAutospacing="1"/>
      <w:jc w:val="left"/>
    </w:pPr>
    <w:rPr>
      <w:kern w:val="0"/>
      <w:sz w:val="24"/>
    </w:rPr>
  </w:style>
  <w:style w:type="paragraph" w:styleId="49">
    <w:name w:val="index 2"/>
    <w:basedOn w:val="1"/>
    <w:next w:val="1"/>
    <w:qFormat/>
    <w:uiPriority w:val="0"/>
    <w:pPr>
      <w:adjustRightInd w:val="0"/>
      <w:spacing w:line="315" w:lineRule="atLeast"/>
      <w:ind w:left="420"/>
      <w:jc w:val="left"/>
      <w:textAlignment w:val="baseline"/>
    </w:pPr>
    <w:rPr>
      <w:rFonts w:ascii="宋体"/>
      <w:kern w:val="0"/>
    </w:rPr>
  </w:style>
  <w:style w:type="paragraph" w:styleId="50">
    <w:name w:val="Title"/>
    <w:basedOn w:val="1"/>
    <w:qFormat/>
    <w:uiPriority w:val="0"/>
    <w:pPr>
      <w:spacing w:before="240" w:after="60"/>
      <w:jc w:val="center"/>
      <w:outlineLvl w:val="0"/>
    </w:pPr>
    <w:rPr>
      <w:rFonts w:ascii="Arial" w:hAnsi="Arial" w:eastAsia="隶书" w:cs="Arial"/>
      <w:b/>
      <w:bCs/>
      <w:sz w:val="32"/>
      <w:szCs w:val="32"/>
    </w:rPr>
  </w:style>
  <w:style w:type="paragraph" w:styleId="51">
    <w:name w:val="annotation subject"/>
    <w:basedOn w:val="18"/>
    <w:next w:val="18"/>
    <w:link w:val="175"/>
    <w:qFormat/>
    <w:uiPriority w:val="0"/>
    <w:pPr>
      <w:autoSpaceDE/>
      <w:autoSpaceDN/>
      <w:adjustRightInd/>
      <w:textAlignment w:val="auto"/>
    </w:pPr>
    <w:rPr>
      <w:rFonts w:ascii="Times New Roman"/>
      <w:b/>
      <w:bCs/>
      <w:kern w:val="2"/>
      <w:sz w:val="21"/>
      <w:szCs w:val="24"/>
    </w:rPr>
  </w:style>
  <w:style w:type="paragraph" w:styleId="52">
    <w:name w:val="Body Text First Indent"/>
    <w:basedOn w:val="22"/>
    <w:link w:val="114"/>
    <w:qFormat/>
    <w:uiPriority w:val="0"/>
    <w:pPr>
      <w:spacing w:after="120" w:line="240" w:lineRule="auto"/>
      <w:ind w:firstLine="420" w:firstLineChars="100"/>
    </w:pPr>
    <w:rPr>
      <w:b w:val="0"/>
      <w:bCs w:val="0"/>
      <w:sz w:val="21"/>
    </w:rPr>
  </w:style>
  <w:style w:type="paragraph" w:styleId="53">
    <w:name w:val="Body Text First Indent 2"/>
    <w:basedOn w:val="23"/>
    <w:link w:val="106"/>
    <w:qFormat/>
    <w:uiPriority w:val="0"/>
    <w:pPr>
      <w:spacing w:after="120" w:line="240" w:lineRule="auto"/>
      <w:ind w:left="420" w:firstLine="210" w:firstLineChars="0"/>
    </w:pPr>
    <w:rPr>
      <w:szCs w:val="20"/>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6">
    <w:name w:val="Table Theme"/>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7">
    <w:name w:val="Table Grid 2"/>
    <w:basedOn w:val="54"/>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character" w:styleId="59">
    <w:name w:val="Strong"/>
    <w:qFormat/>
    <w:uiPriority w:val="0"/>
    <w:rPr>
      <w:b/>
      <w:bCs/>
    </w:rPr>
  </w:style>
  <w:style w:type="character" w:styleId="60">
    <w:name w:val="page number"/>
    <w:basedOn w:val="58"/>
    <w:qFormat/>
    <w:uiPriority w:val="0"/>
  </w:style>
  <w:style w:type="character" w:styleId="61">
    <w:name w:val="FollowedHyperlink"/>
    <w:qFormat/>
    <w:uiPriority w:val="0"/>
    <w:rPr>
      <w:color w:val="800080"/>
      <w:u w:val="single"/>
    </w:rPr>
  </w:style>
  <w:style w:type="character" w:styleId="62">
    <w:name w:val="Emphasis"/>
    <w:qFormat/>
    <w:uiPriority w:val="0"/>
    <w:rPr>
      <w:color w:val="CC0000"/>
    </w:rPr>
  </w:style>
  <w:style w:type="character" w:styleId="63">
    <w:name w:val="Hyperlink"/>
    <w:qFormat/>
    <w:uiPriority w:val="0"/>
    <w:rPr>
      <w:color w:val="0000FF"/>
      <w:u w:val="single"/>
    </w:rPr>
  </w:style>
  <w:style w:type="character" w:styleId="64">
    <w:name w:val="annotation reference"/>
    <w:unhideWhenUsed/>
    <w:qFormat/>
    <w:uiPriority w:val="0"/>
    <w:rPr>
      <w:sz w:val="21"/>
      <w:szCs w:val="21"/>
    </w:rPr>
  </w:style>
  <w:style w:type="character" w:customStyle="1" w:styleId="65">
    <w:name w:val="标题 4 字符"/>
    <w:link w:val="4"/>
    <w:qFormat/>
    <w:uiPriority w:val="0"/>
    <w:rPr>
      <w:rFonts w:ascii="Arial" w:hAnsi="Arial" w:eastAsia="黑体"/>
      <w:b/>
      <w:bCs/>
      <w:kern w:val="2"/>
      <w:sz w:val="28"/>
      <w:szCs w:val="28"/>
      <w:lang w:val="en-US" w:eastAsia="zh-CN" w:bidi="ar-SA"/>
    </w:rPr>
  </w:style>
  <w:style w:type="paragraph" w:customStyle="1" w:styleId="6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67">
    <w:name w:val="标题 3 字符"/>
    <w:link w:val="3"/>
    <w:qFormat/>
    <w:uiPriority w:val="0"/>
    <w:rPr>
      <w:rFonts w:ascii="宋体" w:hAnsi="宋体" w:eastAsia="宋体"/>
      <w:b/>
      <w:bCs/>
      <w:kern w:val="2"/>
      <w:sz w:val="28"/>
      <w:szCs w:val="32"/>
      <w:lang w:val="en-US" w:eastAsia="zh-CN" w:bidi="ar-SA"/>
    </w:rPr>
  </w:style>
  <w:style w:type="character" w:customStyle="1" w:styleId="68">
    <w:name w:val="标题 1 字符"/>
    <w:link w:val="2"/>
    <w:qFormat/>
    <w:uiPriority w:val="0"/>
    <w:rPr>
      <w:rFonts w:ascii="宋体" w:hAnsi="宋体" w:eastAsia="黑体"/>
      <w:kern w:val="44"/>
      <w:sz w:val="48"/>
      <w:szCs w:val="48"/>
    </w:rPr>
  </w:style>
  <w:style w:type="character" w:customStyle="1" w:styleId="69">
    <w:name w:val="正文缩进 字符"/>
    <w:link w:val="7"/>
    <w:qFormat/>
    <w:uiPriority w:val="0"/>
    <w:rPr>
      <w:rFonts w:eastAsia="宋体"/>
      <w:kern w:val="2"/>
      <w:sz w:val="21"/>
      <w:lang w:val="en-US" w:eastAsia="zh-CN" w:bidi="ar-SA"/>
    </w:rPr>
  </w:style>
  <w:style w:type="character" w:customStyle="1" w:styleId="70">
    <w:name w:val="已访问的超链接1"/>
    <w:qFormat/>
    <w:uiPriority w:val="0"/>
    <w:rPr>
      <w:color w:val="800080"/>
      <w:u w:val="single"/>
    </w:rPr>
  </w:style>
  <w:style w:type="character" w:customStyle="1" w:styleId="71">
    <w:name w:val="标题 3 Char"/>
    <w:qFormat/>
    <w:uiPriority w:val="0"/>
    <w:rPr>
      <w:rFonts w:ascii="黑体" w:eastAsia="黑体"/>
      <w:bCs/>
      <w:sz w:val="30"/>
    </w:rPr>
  </w:style>
  <w:style w:type="paragraph" w:customStyle="1" w:styleId="72">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73">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74">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7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
    <w:name w:val="Char Char Char 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9">
    <w:name w:val="自定义正文"/>
    <w:basedOn w:val="1"/>
    <w:qFormat/>
    <w:uiPriority w:val="0"/>
    <w:pPr>
      <w:spacing w:after="50" w:afterLines="50"/>
      <w:ind w:left="600" w:leftChars="600"/>
    </w:pPr>
  </w:style>
  <w:style w:type="paragraph" w:customStyle="1" w:styleId="80">
    <w:name w:val="Char Char Char Char Char"/>
    <w:basedOn w:val="1"/>
    <w:qFormat/>
    <w:uiPriority w:val="0"/>
    <w:rPr>
      <w:rFonts w:ascii="Tahoma" w:hAnsi="Tahoma"/>
      <w:sz w:val="24"/>
      <w:szCs w:val="20"/>
    </w:rPr>
  </w:style>
  <w:style w:type="paragraph" w:customStyle="1" w:styleId="81">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82">
    <w:name w:val="Char Char"/>
    <w:basedOn w:val="1"/>
    <w:qFormat/>
    <w:uiPriority w:val="0"/>
    <w:rPr>
      <w:rFonts w:ascii="Tahoma" w:hAnsi="Tahoma"/>
      <w:sz w:val="24"/>
      <w:szCs w:val="20"/>
    </w:rPr>
  </w:style>
  <w:style w:type="paragraph" w:customStyle="1" w:styleId="83">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84">
    <w:name w:val="批注文字 字符"/>
    <w:link w:val="18"/>
    <w:qFormat/>
    <w:uiPriority w:val="0"/>
    <w:rPr>
      <w:rFonts w:ascii="宋体" w:eastAsia="宋体"/>
      <w:sz w:val="34"/>
      <w:lang w:val="en-US" w:eastAsia="zh-CN" w:bidi="ar-SA"/>
    </w:rPr>
  </w:style>
  <w:style w:type="paragraph" w:customStyle="1" w:styleId="85">
    <w:name w:val="_Style 64"/>
    <w:basedOn w:val="1"/>
    <w:qFormat/>
    <w:uiPriority w:val="0"/>
    <w:pPr>
      <w:widowControl/>
      <w:spacing w:after="160" w:line="240" w:lineRule="exact"/>
      <w:jc w:val="left"/>
    </w:pPr>
  </w:style>
  <w:style w:type="paragraph" w:customStyle="1" w:styleId="86">
    <w:name w:val="Char Char Char Char Char Char Char"/>
    <w:basedOn w:val="1"/>
    <w:qFormat/>
    <w:uiPriority w:val="0"/>
    <w:pPr>
      <w:widowControl/>
      <w:spacing w:after="160" w:line="240" w:lineRule="exact"/>
      <w:jc w:val="left"/>
    </w:pPr>
  </w:style>
  <w:style w:type="character" w:customStyle="1" w:styleId="87">
    <w:name w:val="页眉 字符"/>
    <w:link w:val="37"/>
    <w:qFormat/>
    <w:uiPriority w:val="0"/>
    <w:rPr>
      <w:rFonts w:eastAsia="宋体"/>
      <w:kern w:val="2"/>
      <w:sz w:val="18"/>
      <w:szCs w:val="18"/>
      <w:lang w:val="en-US" w:eastAsia="zh-CN" w:bidi="ar-SA"/>
    </w:rPr>
  </w:style>
  <w:style w:type="paragraph" w:customStyle="1" w:styleId="88">
    <w:name w:val="Char Char Char Char Char Char Char1"/>
    <w:basedOn w:val="1"/>
    <w:qFormat/>
    <w:uiPriority w:val="0"/>
    <w:pPr>
      <w:widowControl/>
      <w:spacing w:after="160" w:line="240" w:lineRule="exact"/>
      <w:jc w:val="left"/>
    </w:pPr>
  </w:style>
  <w:style w:type="paragraph" w:styleId="89">
    <w:name w:val="List Paragraph"/>
    <w:basedOn w:val="1"/>
    <w:qFormat/>
    <w:uiPriority w:val="0"/>
    <w:pPr>
      <w:ind w:firstLine="420" w:firstLineChars="200"/>
    </w:pPr>
    <w:rPr>
      <w:rFonts w:ascii="Calibri" w:hAnsi="Calibri"/>
      <w:szCs w:val="22"/>
    </w:rPr>
  </w:style>
  <w:style w:type="paragraph" w:customStyle="1" w:styleId="90">
    <w:name w:val="Char Char8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1">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92">
    <w:name w:val="纯文本 字符"/>
    <w:link w:val="30"/>
    <w:qFormat/>
    <w:uiPriority w:val="0"/>
    <w:rPr>
      <w:rFonts w:ascii="宋体" w:hAnsi="Courier New"/>
      <w:kern w:val="2"/>
      <w:sz w:val="21"/>
    </w:rPr>
  </w:style>
  <w:style w:type="paragraph" w:customStyle="1" w:styleId="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4">
    <w:name w:val="font6"/>
    <w:basedOn w:val="1"/>
    <w:qFormat/>
    <w:uiPriority w:val="0"/>
    <w:pPr>
      <w:widowControl/>
      <w:spacing w:before="100" w:beforeAutospacing="1" w:after="100" w:afterAutospacing="1"/>
      <w:jc w:val="left"/>
    </w:pPr>
    <w:rPr>
      <w:rFonts w:hint="eastAsia" w:ascii="黑体" w:hAnsi="Arial Unicode MS" w:eastAsia="黑体" w:cs="Arial Unicode MS"/>
      <w:kern w:val="0"/>
      <w:sz w:val="24"/>
    </w:rPr>
  </w:style>
  <w:style w:type="paragraph" w:customStyle="1" w:styleId="95">
    <w:name w:val="表格内文"/>
    <w:basedOn w:val="1"/>
    <w:qFormat/>
    <w:uiPriority w:val="0"/>
    <w:pPr>
      <w:spacing w:before="60" w:after="60"/>
      <w:jc w:val="center"/>
    </w:pPr>
    <w:rPr>
      <w:rFonts w:eastAsia="文鼎CS书宋二"/>
      <w:w w:val="95"/>
      <w:sz w:val="18"/>
      <w:szCs w:val="20"/>
    </w:rPr>
  </w:style>
  <w:style w:type="paragraph" w:customStyle="1" w:styleId="96">
    <w:name w:val="内正文"/>
    <w:basedOn w:val="1"/>
    <w:qFormat/>
    <w:uiPriority w:val="0"/>
    <w:pPr>
      <w:ind w:firstLine="420"/>
    </w:pPr>
    <w:rPr>
      <w:rFonts w:eastAsia="文鼎CS书宋二"/>
      <w:szCs w:val="20"/>
    </w:rPr>
  </w:style>
  <w:style w:type="character" w:customStyle="1" w:styleId="97">
    <w:name w:val="标题 2 字符"/>
    <w:link w:val="5"/>
    <w:uiPriority w:val="0"/>
    <w:rPr>
      <w:rFonts w:ascii="宋体" w:hAnsi="宋体"/>
      <w:b/>
      <w:sz w:val="24"/>
    </w:rPr>
  </w:style>
  <w:style w:type="character" w:customStyle="1" w:styleId="98">
    <w:name w:val="批注框文本 字符"/>
    <w:link w:val="35"/>
    <w:uiPriority w:val="0"/>
    <w:rPr>
      <w:kern w:val="2"/>
      <w:sz w:val="18"/>
      <w:szCs w:val="18"/>
    </w:rPr>
  </w:style>
  <w:style w:type="paragraph" w:customStyle="1" w:styleId="99">
    <w:name w:val="样式1"/>
    <w:basedOn w:val="50"/>
    <w:uiPriority w:val="0"/>
    <w:pPr>
      <w:spacing w:before="120" w:after="120"/>
    </w:pPr>
    <w:rPr>
      <w:rFonts w:eastAsia="黑体"/>
      <w:b w:val="0"/>
      <w:sz w:val="30"/>
      <w:szCs w:val="21"/>
    </w:rPr>
  </w:style>
  <w:style w:type="paragraph" w:customStyle="1" w:styleId="100">
    <w:name w:val="样式2"/>
    <w:basedOn w:val="50"/>
    <w:next w:val="99"/>
    <w:qFormat/>
    <w:uiPriority w:val="0"/>
    <w:pPr>
      <w:spacing w:before="120" w:after="120"/>
    </w:pPr>
    <w:rPr>
      <w:rFonts w:eastAsia="黑体"/>
      <w:b w:val="0"/>
      <w:sz w:val="30"/>
      <w:szCs w:val="30"/>
    </w:rPr>
  </w:style>
  <w:style w:type="character" w:customStyle="1" w:styleId="101">
    <w:name w:val="页脚 字符"/>
    <w:link w:val="36"/>
    <w:uiPriority w:val="0"/>
    <w:rPr>
      <w:kern w:val="2"/>
      <w:sz w:val="18"/>
      <w:szCs w:val="18"/>
    </w:rPr>
  </w:style>
  <w:style w:type="paragraph" w:customStyle="1" w:styleId="102">
    <w:name w:val="内正文篇标"/>
    <w:basedOn w:val="96"/>
    <w:qFormat/>
    <w:uiPriority w:val="0"/>
    <w:pPr>
      <w:ind w:firstLine="2354" w:firstLineChars="654"/>
      <w:jc w:val="left"/>
    </w:pPr>
    <w:rPr>
      <w:rFonts w:ascii="宋体" w:hAnsi="宋体" w:eastAsia="宋体"/>
      <w:w w:val="90"/>
      <w:sz w:val="40"/>
    </w:rPr>
  </w:style>
  <w:style w:type="paragraph" w:customStyle="1" w:styleId="103">
    <w:name w:val="内正文加粗"/>
    <w:basedOn w:val="96"/>
    <w:uiPriority w:val="0"/>
    <w:pPr>
      <w:spacing w:before="60" w:after="60"/>
    </w:pPr>
    <w:rPr>
      <w:b/>
    </w:rPr>
  </w:style>
  <w:style w:type="paragraph" w:customStyle="1" w:styleId="104">
    <w:name w:val="正文未缩进"/>
    <w:basedOn w:val="1"/>
    <w:uiPriority w:val="0"/>
    <w:rPr>
      <w:rFonts w:eastAsia="文鼎CS书宋二"/>
      <w:szCs w:val="20"/>
    </w:rPr>
  </w:style>
  <w:style w:type="character" w:customStyle="1" w:styleId="105">
    <w:name w:val="正文文本缩进 字符"/>
    <w:basedOn w:val="58"/>
    <w:link w:val="23"/>
    <w:uiPriority w:val="0"/>
    <w:rPr>
      <w:kern w:val="2"/>
      <w:sz w:val="21"/>
      <w:szCs w:val="24"/>
    </w:rPr>
  </w:style>
  <w:style w:type="character" w:customStyle="1" w:styleId="106">
    <w:name w:val="正文首行缩进 2 字符"/>
    <w:basedOn w:val="105"/>
    <w:link w:val="53"/>
    <w:uiPriority w:val="0"/>
    <w:rPr>
      <w:kern w:val="2"/>
      <w:sz w:val="21"/>
      <w:szCs w:val="24"/>
    </w:rPr>
  </w:style>
  <w:style w:type="paragraph" w:customStyle="1" w:styleId="107">
    <w:name w:val="小标题"/>
    <w:basedOn w:val="1"/>
    <w:uiPriority w:val="0"/>
    <w:pPr>
      <w:spacing w:before="240" w:after="240"/>
      <w:jc w:val="center"/>
    </w:pPr>
    <w:rPr>
      <w:rFonts w:eastAsia="创艺简黑体"/>
      <w:b/>
      <w:w w:val="95"/>
      <w:szCs w:val="20"/>
    </w:rPr>
  </w:style>
  <w:style w:type="paragraph" w:customStyle="1" w:styleId="108">
    <w:name w:val="表格标题"/>
    <w:basedOn w:val="107"/>
    <w:uiPriority w:val="0"/>
    <w:pPr>
      <w:spacing w:before="120" w:after="60"/>
    </w:pPr>
    <w:rPr>
      <w:rFonts w:eastAsia="文鼎CS大宋"/>
      <w:b w:val="0"/>
      <w:sz w:val="28"/>
    </w:rPr>
  </w:style>
  <w:style w:type="paragraph" w:customStyle="1" w:styleId="109">
    <w:name w:val="节标题"/>
    <w:basedOn w:val="1"/>
    <w:uiPriority w:val="0"/>
    <w:pPr>
      <w:spacing w:before="240" w:after="240"/>
      <w:jc w:val="center"/>
    </w:pPr>
    <w:rPr>
      <w:rFonts w:eastAsia="文鼎CS长美黑"/>
      <w:w w:val="95"/>
      <w:sz w:val="32"/>
      <w:szCs w:val="20"/>
    </w:rPr>
  </w:style>
  <w:style w:type="paragraph" w:customStyle="1" w:styleId="110">
    <w:name w:val="说明"/>
    <w:basedOn w:val="107"/>
    <w:uiPriority w:val="0"/>
    <w:pPr>
      <w:spacing w:before="0" w:after="0" w:line="288" w:lineRule="auto"/>
      <w:ind w:firstLine="420"/>
      <w:jc w:val="both"/>
    </w:pPr>
    <w:rPr>
      <w:rFonts w:ascii="文鼎中楷" w:eastAsia="文鼎中楷"/>
      <w:b w:val="0"/>
    </w:rPr>
  </w:style>
  <w:style w:type="character" w:customStyle="1" w:styleId="111">
    <w:name w:val="p121"/>
    <w:uiPriority w:val="0"/>
    <w:rPr>
      <w:rFonts w:hint="default"/>
      <w:sz w:val="24"/>
      <w:szCs w:val="24"/>
    </w:rPr>
  </w:style>
  <w:style w:type="paragraph" w:customStyle="1" w:styleId="112">
    <w:name w:val="Definition Term"/>
    <w:basedOn w:val="1"/>
    <w:next w:val="1"/>
    <w:uiPriority w:val="0"/>
    <w:pPr>
      <w:autoSpaceDE w:val="0"/>
      <w:autoSpaceDN w:val="0"/>
      <w:adjustRightInd w:val="0"/>
      <w:jc w:val="left"/>
    </w:pPr>
    <w:rPr>
      <w:kern w:val="0"/>
      <w:sz w:val="24"/>
      <w:szCs w:val="20"/>
    </w:rPr>
  </w:style>
  <w:style w:type="character" w:customStyle="1" w:styleId="113">
    <w:name w:val="正文文本 字符"/>
    <w:basedOn w:val="58"/>
    <w:link w:val="22"/>
    <w:uiPriority w:val="0"/>
    <w:rPr>
      <w:b/>
      <w:bCs/>
      <w:kern w:val="2"/>
      <w:sz w:val="24"/>
      <w:szCs w:val="24"/>
    </w:rPr>
  </w:style>
  <w:style w:type="character" w:customStyle="1" w:styleId="114">
    <w:name w:val="正文首行缩进 字符"/>
    <w:basedOn w:val="113"/>
    <w:link w:val="52"/>
    <w:uiPriority w:val="0"/>
    <w:rPr>
      <w:b w:val="0"/>
      <w:bCs w:val="0"/>
      <w:kern w:val="2"/>
      <w:sz w:val="21"/>
      <w:szCs w:val="24"/>
    </w:rPr>
  </w:style>
  <w:style w:type="paragraph" w:customStyle="1" w:styleId="115">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16">
    <w:name w:val="font7"/>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117">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118">
    <w:name w:val="xl2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Tunga" w:hAnsi="Tunga"/>
      <w:kern w:val="0"/>
      <w:sz w:val="22"/>
      <w:szCs w:val="22"/>
    </w:rPr>
  </w:style>
  <w:style w:type="paragraph" w:customStyle="1" w:styleId="119">
    <w:name w:val="xl2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2"/>
      <w:szCs w:val="22"/>
    </w:rPr>
  </w:style>
  <w:style w:type="paragraph" w:customStyle="1" w:styleId="120">
    <w:name w:val="xl27"/>
    <w:basedOn w:val="1"/>
    <w:uiPriority w:val="0"/>
    <w:pPr>
      <w:widowControl/>
      <w:pBdr>
        <w:top w:val="single" w:color="auto" w:sz="4" w:space="0"/>
        <w:bottom w:val="single" w:color="auto" w:sz="4" w:space="0"/>
      </w:pBdr>
      <w:spacing w:before="100" w:beforeAutospacing="1" w:after="100" w:afterAutospacing="1"/>
      <w:jc w:val="center"/>
    </w:pPr>
    <w:rPr>
      <w:rFonts w:ascii="宋体" w:hAnsi="宋体"/>
      <w:kern w:val="0"/>
      <w:sz w:val="22"/>
      <w:szCs w:val="22"/>
    </w:rPr>
  </w:style>
  <w:style w:type="paragraph" w:customStyle="1" w:styleId="121">
    <w:name w:val="xl28"/>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122">
    <w:name w:val="xl29"/>
    <w:basedOn w:val="1"/>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kern w:val="0"/>
      <w:sz w:val="22"/>
      <w:szCs w:val="22"/>
    </w:rPr>
  </w:style>
  <w:style w:type="paragraph" w:customStyle="1" w:styleId="123">
    <w:name w:val="xl30"/>
    <w:basedOn w:val="1"/>
    <w:uiPriority w:val="0"/>
    <w:pPr>
      <w:widowControl/>
      <w:pBdr>
        <w:top w:val="single" w:color="auto" w:sz="4" w:space="0"/>
        <w:bottom w:val="single" w:color="auto" w:sz="8" w:space="0"/>
      </w:pBdr>
      <w:spacing w:before="100" w:beforeAutospacing="1" w:after="100" w:afterAutospacing="1"/>
      <w:jc w:val="center"/>
    </w:pPr>
    <w:rPr>
      <w:rFonts w:ascii="宋体" w:hAnsi="宋体"/>
      <w:kern w:val="0"/>
      <w:sz w:val="22"/>
      <w:szCs w:val="22"/>
    </w:rPr>
  </w:style>
  <w:style w:type="paragraph" w:customStyle="1" w:styleId="124">
    <w:name w:val="xl31"/>
    <w:basedOn w:val="1"/>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宋体" w:hAnsi="宋体"/>
      <w:kern w:val="0"/>
      <w:sz w:val="22"/>
      <w:szCs w:val="22"/>
    </w:rPr>
  </w:style>
  <w:style w:type="paragraph" w:customStyle="1" w:styleId="125">
    <w:name w:val="xl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kern w:val="0"/>
      <w:sz w:val="24"/>
    </w:rPr>
  </w:style>
  <w:style w:type="paragraph" w:customStyle="1" w:styleId="126">
    <w:name w:val="xl33"/>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2"/>
      <w:szCs w:val="22"/>
    </w:rPr>
  </w:style>
  <w:style w:type="paragraph" w:customStyle="1" w:styleId="127">
    <w:name w:val="xl34"/>
    <w:basedOn w:val="1"/>
    <w:uiPriority w:val="0"/>
    <w:pPr>
      <w:widowControl/>
      <w:pBdr>
        <w:top w:val="single" w:color="auto" w:sz="4" w:space="0"/>
        <w:bottom w:val="single" w:color="auto" w:sz="4" w:space="0"/>
      </w:pBdr>
      <w:spacing w:before="100" w:beforeAutospacing="1" w:after="100" w:afterAutospacing="1"/>
      <w:jc w:val="center"/>
    </w:pPr>
    <w:rPr>
      <w:rFonts w:ascii="宋体" w:hAnsi="宋体"/>
      <w:kern w:val="0"/>
      <w:sz w:val="22"/>
      <w:szCs w:val="22"/>
    </w:rPr>
  </w:style>
  <w:style w:type="paragraph" w:customStyle="1" w:styleId="128">
    <w:name w:val="xl35"/>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129">
    <w:name w:val="xl36"/>
    <w:basedOn w:val="1"/>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kern w:val="0"/>
      <w:sz w:val="22"/>
      <w:szCs w:val="22"/>
    </w:rPr>
  </w:style>
  <w:style w:type="paragraph" w:customStyle="1" w:styleId="130">
    <w:name w:val="xl37"/>
    <w:basedOn w:val="1"/>
    <w:uiPriority w:val="0"/>
    <w:pPr>
      <w:widowControl/>
      <w:pBdr>
        <w:top w:val="single" w:color="auto" w:sz="4" w:space="0"/>
        <w:bottom w:val="single" w:color="auto" w:sz="8" w:space="0"/>
      </w:pBdr>
      <w:spacing w:before="100" w:beforeAutospacing="1" w:after="100" w:afterAutospacing="1"/>
      <w:jc w:val="center"/>
    </w:pPr>
    <w:rPr>
      <w:rFonts w:ascii="宋体" w:hAnsi="宋体"/>
      <w:kern w:val="0"/>
      <w:sz w:val="22"/>
      <w:szCs w:val="22"/>
    </w:rPr>
  </w:style>
  <w:style w:type="paragraph" w:customStyle="1" w:styleId="131">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b/>
      <w:bCs/>
      <w:kern w:val="0"/>
      <w:sz w:val="24"/>
    </w:rPr>
  </w:style>
  <w:style w:type="paragraph" w:customStyle="1" w:styleId="132">
    <w:name w:val="xl39"/>
    <w:basedOn w:val="1"/>
    <w:uiPriority w:val="0"/>
    <w:pPr>
      <w:widowControl/>
      <w:pBdr>
        <w:top w:val="single" w:color="auto" w:sz="4" w:space="0"/>
        <w:bottom w:val="single" w:color="auto" w:sz="4" w:space="0"/>
      </w:pBdr>
      <w:spacing w:before="100" w:beforeAutospacing="1" w:after="100" w:afterAutospacing="1"/>
      <w:jc w:val="center"/>
    </w:pPr>
    <w:rPr>
      <w:rFonts w:ascii="宋体" w:hAnsi="宋体"/>
      <w:b/>
      <w:bCs/>
      <w:kern w:val="0"/>
      <w:sz w:val="24"/>
    </w:rPr>
  </w:style>
  <w:style w:type="paragraph" w:customStyle="1" w:styleId="133">
    <w:name w:val="xl40"/>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4"/>
    </w:rPr>
  </w:style>
  <w:style w:type="paragraph" w:customStyle="1" w:styleId="134">
    <w:name w:val="xl41"/>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4"/>
    </w:rPr>
  </w:style>
  <w:style w:type="paragraph" w:customStyle="1" w:styleId="135">
    <w:name w:val="xl42"/>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4"/>
    </w:rPr>
  </w:style>
  <w:style w:type="paragraph" w:customStyle="1" w:styleId="136">
    <w:name w:val="xl43"/>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b/>
      <w:bCs/>
      <w:kern w:val="0"/>
      <w:sz w:val="24"/>
    </w:rPr>
  </w:style>
  <w:style w:type="paragraph" w:customStyle="1" w:styleId="137">
    <w:name w:val="xl44"/>
    <w:basedOn w:val="1"/>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宋体" w:hAnsi="宋体"/>
      <w:kern w:val="0"/>
      <w:sz w:val="22"/>
      <w:szCs w:val="22"/>
    </w:rPr>
  </w:style>
  <w:style w:type="paragraph" w:customStyle="1" w:styleId="138">
    <w:name w:val="char"/>
    <w:basedOn w:val="3"/>
    <w:uiPriority w:val="0"/>
    <w:pPr>
      <w:spacing w:line="360" w:lineRule="auto"/>
      <w:ind w:firstLine="2560" w:firstLineChars="800"/>
    </w:pPr>
    <w:rPr>
      <w:b w:val="0"/>
      <w:sz w:val="32"/>
      <w:szCs w:val="20"/>
    </w:rPr>
  </w:style>
  <w:style w:type="paragraph" w:customStyle="1" w:styleId="139">
    <w:name w:val="标题4 Char"/>
    <w:basedOn w:val="1"/>
    <w:uiPriority w:val="0"/>
    <w:pPr>
      <w:spacing w:line="360" w:lineRule="auto"/>
      <w:ind w:firstLine="538" w:firstLineChars="192"/>
      <w:jc w:val="left"/>
    </w:pPr>
    <w:rPr>
      <w:rFonts w:ascii="宋体" w:hAnsi="宋体"/>
      <w:color w:val="000000"/>
      <w:sz w:val="28"/>
      <w:szCs w:val="28"/>
    </w:rPr>
  </w:style>
  <w:style w:type="paragraph" w:customStyle="1" w:styleId="140">
    <w:name w:val="投标人须知1"/>
    <w:basedOn w:val="1"/>
    <w:qFormat/>
    <w:uiPriority w:val="0"/>
    <w:pPr>
      <w:numPr>
        <w:ilvl w:val="0"/>
        <w:numId w:val="3"/>
      </w:numPr>
      <w:spacing w:line="480" w:lineRule="auto"/>
      <w:jc w:val="left"/>
    </w:pPr>
    <w:rPr>
      <w:b/>
      <w:sz w:val="24"/>
    </w:rPr>
  </w:style>
  <w:style w:type="paragraph" w:customStyle="1" w:styleId="141">
    <w:name w:val="投标人须知2"/>
    <w:basedOn w:val="1"/>
    <w:uiPriority w:val="0"/>
    <w:pPr>
      <w:numPr>
        <w:ilvl w:val="1"/>
        <w:numId w:val="3"/>
      </w:numPr>
      <w:spacing w:line="300" w:lineRule="auto"/>
      <w:jc w:val="left"/>
    </w:pPr>
    <w:rPr>
      <w:szCs w:val="21"/>
    </w:rPr>
  </w:style>
  <w:style w:type="paragraph" w:customStyle="1" w:styleId="142">
    <w:name w:val="投标人须知3"/>
    <w:basedOn w:val="1"/>
    <w:qFormat/>
    <w:uiPriority w:val="0"/>
    <w:pPr>
      <w:numPr>
        <w:ilvl w:val="2"/>
        <w:numId w:val="3"/>
      </w:numPr>
      <w:spacing w:line="300" w:lineRule="auto"/>
      <w:jc w:val="left"/>
    </w:pPr>
  </w:style>
  <w:style w:type="paragraph" w:customStyle="1" w:styleId="143">
    <w:name w:val="投标人须知4"/>
    <w:basedOn w:val="1"/>
    <w:qFormat/>
    <w:uiPriority w:val="0"/>
    <w:pPr>
      <w:numPr>
        <w:ilvl w:val="3"/>
        <w:numId w:val="3"/>
      </w:numPr>
      <w:spacing w:line="300" w:lineRule="auto"/>
      <w:ind w:left="794" w:hanging="340"/>
      <w:jc w:val="left"/>
    </w:pPr>
  </w:style>
  <w:style w:type="paragraph" w:customStyle="1" w:styleId="144">
    <w:name w:val="样式 投标人须知1 + (符号) 宋体"/>
    <w:basedOn w:val="140"/>
    <w:uiPriority w:val="0"/>
    <w:pPr>
      <w:numPr>
        <w:numId w:val="0"/>
      </w:numPr>
      <w:tabs>
        <w:tab w:val="left" w:pos="360"/>
      </w:tabs>
      <w:ind w:left="360" w:hanging="360"/>
      <w:outlineLvl w:val="1"/>
    </w:pPr>
    <w:rPr>
      <w:bCs/>
    </w:rPr>
  </w:style>
  <w:style w:type="paragraph" w:customStyle="1" w:styleId="145">
    <w:name w:val="Char Char Char Char Char1 Char Char Char Char Char Char Char Char Char Char"/>
    <w:basedOn w:val="1"/>
    <w:uiPriority w:val="0"/>
    <w:rPr>
      <w:rFonts w:ascii="仿宋_GB2312" w:eastAsia="仿宋_GB2312"/>
      <w:b/>
      <w:sz w:val="32"/>
      <w:szCs w:val="32"/>
    </w:rPr>
  </w:style>
  <w:style w:type="paragraph" w:customStyle="1" w:styleId="146">
    <w:name w:val="表格内文1"/>
    <w:basedOn w:val="95"/>
    <w:uiPriority w:val="0"/>
  </w:style>
  <w:style w:type="paragraph" w:customStyle="1" w:styleId="147">
    <w:name w:val="001"/>
    <w:basedOn w:val="148"/>
    <w:uiPriority w:val="0"/>
  </w:style>
  <w:style w:type="paragraph" w:customStyle="1" w:styleId="148">
    <w:name w:val="05"/>
    <w:basedOn w:val="149"/>
    <w:uiPriority w:val="0"/>
  </w:style>
  <w:style w:type="paragraph" w:customStyle="1" w:styleId="149">
    <w:name w:val="01"/>
    <w:basedOn w:val="150"/>
    <w:uiPriority w:val="0"/>
  </w:style>
  <w:style w:type="paragraph" w:customStyle="1" w:styleId="150">
    <w:name w:val="表格内文2"/>
    <w:basedOn w:val="95"/>
    <w:uiPriority w:val="0"/>
  </w:style>
  <w:style w:type="paragraph" w:customStyle="1" w:styleId="151">
    <w:name w:val="002"/>
    <w:basedOn w:val="96"/>
    <w:uiPriority w:val="0"/>
    <w:pPr>
      <w:spacing w:before="62" w:after="62"/>
      <w:jc w:val="center"/>
    </w:pPr>
  </w:style>
  <w:style w:type="paragraph" w:customStyle="1" w:styleId="152">
    <w:name w:val="表格下注"/>
    <w:basedOn w:val="96"/>
    <w:uiPriority w:val="0"/>
    <w:pPr>
      <w:ind w:left="798" w:hanging="378"/>
    </w:pPr>
    <w:rPr>
      <w:sz w:val="18"/>
    </w:rPr>
  </w:style>
  <w:style w:type="paragraph" w:customStyle="1" w:styleId="153">
    <w:name w:val="正文A"/>
    <w:basedOn w:val="96"/>
    <w:uiPriority w:val="0"/>
    <w:pPr>
      <w:tabs>
        <w:tab w:val="center" w:pos="3780"/>
        <w:tab w:val="left" w:pos="7140"/>
      </w:tabs>
      <w:spacing w:before="120"/>
      <w:ind w:right="196"/>
      <w:jc w:val="right"/>
    </w:pPr>
    <w:rPr>
      <w:rFonts w:eastAsia="宋体"/>
      <w:b/>
      <w:bCs/>
      <w:w w:val="95"/>
    </w:rPr>
  </w:style>
  <w:style w:type="paragraph" w:customStyle="1" w:styleId="154">
    <w:name w:val="font8"/>
    <w:basedOn w:val="1"/>
    <w:uiPriority w:val="0"/>
    <w:pPr>
      <w:widowControl/>
      <w:spacing w:before="100" w:beforeAutospacing="1" w:after="100" w:afterAutospacing="1"/>
      <w:jc w:val="left"/>
    </w:pPr>
    <w:rPr>
      <w:rFonts w:hint="eastAsia" w:ascii="宋体" w:hAnsi="宋体"/>
      <w:b/>
      <w:bCs/>
      <w:kern w:val="0"/>
      <w:sz w:val="20"/>
      <w:szCs w:val="20"/>
      <w:u w:val="single"/>
    </w:rPr>
  </w:style>
  <w:style w:type="paragraph" w:customStyle="1" w:styleId="155">
    <w:name w:val="font9"/>
    <w:basedOn w:val="1"/>
    <w:uiPriority w:val="0"/>
    <w:pPr>
      <w:widowControl/>
      <w:spacing w:before="100" w:beforeAutospacing="1" w:after="100" w:afterAutospacing="1"/>
      <w:jc w:val="left"/>
    </w:pPr>
    <w:rPr>
      <w:rFonts w:hint="eastAsia" w:ascii="宋体" w:hAnsi="宋体"/>
      <w:kern w:val="0"/>
      <w:sz w:val="20"/>
      <w:szCs w:val="20"/>
      <w:u w:val="single"/>
    </w:rPr>
  </w:style>
  <w:style w:type="paragraph" w:customStyle="1" w:styleId="156">
    <w:name w:val="font10"/>
    <w:basedOn w:val="1"/>
    <w:uiPriority w:val="0"/>
    <w:pPr>
      <w:widowControl/>
      <w:spacing w:before="100" w:beforeAutospacing="1" w:after="100" w:afterAutospacing="1"/>
      <w:jc w:val="left"/>
    </w:pPr>
    <w:rPr>
      <w:b/>
      <w:bCs/>
      <w:kern w:val="0"/>
      <w:sz w:val="20"/>
      <w:szCs w:val="20"/>
      <w:u w:val="single"/>
    </w:rPr>
  </w:style>
  <w:style w:type="paragraph" w:customStyle="1" w:styleId="157">
    <w:name w:val="font11"/>
    <w:basedOn w:val="1"/>
    <w:uiPriority w:val="0"/>
    <w:pPr>
      <w:widowControl/>
      <w:spacing w:before="100" w:beforeAutospacing="1" w:after="100" w:afterAutospacing="1"/>
      <w:jc w:val="left"/>
    </w:pPr>
    <w:rPr>
      <w:kern w:val="0"/>
      <w:sz w:val="20"/>
      <w:szCs w:val="20"/>
    </w:rPr>
  </w:style>
  <w:style w:type="paragraph" w:customStyle="1" w:styleId="158">
    <w:name w:val="font12"/>
    <w:basedOn w:val="1"/>
    <w:uiPriority w:val="0"/>
    <w:pPr>
      <w:widowControl/>
      <w:spacing w:before="100" w:beforeAutospacing="1" w:after="100" w:afterAutospacing="1"/>
      <w:jc w:val="left"/>
    </w:pPr>
    <w:rPr>
      <w:kern w:val="0"/>
      <w:sz w:val="20"/>
      <w:szCs w:val="20"/>
    </w:rPr>
  </w:style>
  <w:style w:type="paragraph" w:customStyle="1" w:styleId="159">
    <w:name w:val="xl22"/>
    <w:basedOn w:val="1"/>
    <w:uiPriority w:val="0"/>
    <w:pPr>
      <w:widowControl/>
      <w:spacing w:before="100" w:beforeAutospacing="1" w:after="100" w:afterAutospacing="1"/>
      <w:jc w:val="center"/>
      <w:textAlignment w:val="center"/>
    </w:pPr>
    <w:rPr>
      <w:rFonts w:ascii="宋体" w:hAnsi="宋体"/>
      <w:b/>
      <w:bCs/>
      <w:kern w:val="0"/>
      <w:sz w:val="28"/>
      <w:szCs w:val="28"/>
    </w:rPr>
  </w:style>
  <w:style w:type="paragraph" w:customStyle="1" w:styleId="160">
    <w:name w:val="xl23"/>
    <w:basedOn w:val="1"/>
    <w:qFormat/>
    <w:uiPriority w:val="0"/>
    <w:pPr>
      <w:widowControl/>
      <w:spacing w:before="100" w:beforeAutospacing="1" w:after="100" w:afterAutospacing="1"/>
      <w:jc w:val="center"/>
      <w:textAlignment w:val="center"/>
    </w:pPr>
    <w:rPr>
      <w:rFonts w:hint="eastAsia" w:ascii="黑体" w:hAnsi="宋体" w:eastAsia="黑体"/>
      <w:kern w:val="0"/>
      <w:sz w:val="22"/>
      <w:szCs w:val="22"/>
    </w:rPr>
  </w:style>
  <w:style w:type="paragraph" w:customStyle="1" w:styleId="161">
    <w:name w:val="xl45"/>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0"/>
      <w:szCs w:val="20"/>
    </w:rPr>
  </w:style>
  <w:style w:type="paragraph" w:customStyle="1" w:styleId="162">
    <w:name w:val="xl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63">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rPr>
  </w:style>
  <w:style w:type="paragraph" w:customStyle="1" w:styleId="164">
    <w:name w:val="xl48"/>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65">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66">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67">
    <w:name w:val="样式 三号 加粗 居中"/>
    <w:basedOn w:val="50"/>
    <w:uiPriority w:val="0"/>
    <w:rPr>
      <w:rFonts w:eastAsia="宋体" w:cs="宋体"/>
      <w:b w:val="0"/>
      <w:bCs w:val="0"/>
    </w:rPr>
  </w:style>
  <w:style w:type="paragraph" w:customStyle="1" w:styleId="168">
    <w:name w:val="样式 章标题"/>
    <w:basedOn w:val="50"/>
    <w:uiPriority w:val="0"/>
    <w:pPr>
      <w:tabs>
        <w:tab w:val="left" w:pos="1590"/>
      </w:tabs>
      <w:ind w:left="1590" w:hanging="1590"/>
    </w:pPr>
    <w:rPr>
      <w:rFonts w:eastAsia="宋体"/>
      <w:b w:val="0"/>
      <w:bCs w:val="0"/>
    </w:rPr>
  </w:style>
  <w:style w:type="paragraph" w:customStyle="1" w:styleId="169">
    <w:name w:val="样式 章标题 20 加粗 居中"/>
    <w:basedOn w:val="168"/>
    <w:uiPriority w:val="0"/>
    <w:rPr>
      <w:rFonts w:cs="宋体"/>
      <w:b/>
      <w:bCs/>
      <w:sz w:val="40"/>
    </w:rPr>
  </w:style>
  <w:style w:type="paragraph" w:customStyle="1" w:styleId="170">
    <w:name w:val="样式 章标题 + 宋体 加粗 倾斜 黑色"/>
    <w:basedOn w:val="5"/>
    <w:uiPriority w:val="0"/>
    <w:pPr>
      <w:keepNext w:val="0"/>
      <w:keepLines w:val="0"/>
      <w:adjustRightInd/>
      <w:spacing w:before="480" w:after="120"/>
      <w:textAlignment w:val="auto"/>
      <w:outlineLvl w:val="9"/>
    </w:pPr>
    <w:rPr>
      <w:bCs/>
      <w:i/>
      <w:iCs/>
      <w:color w:val="000000"/>
      <w:w w:val="80"/>
      <w:kern w:val="2"/>
      <w:sz w:val="40"/>
    </w:rPr>
  </w:style>
  <w:style w:type="paragraph" w:customStyle="1" w:styleId="171">
    <w:name w:val="样式 小标题 + 宋体 黑色 首行缩进:  0.74 厘米"/>
    <w:basedOn w:val="22"/>
    <w:uiPriority w:val="0"/>
    <w:pPr>
      <w:spacing w:after="120" w:line="240" w:lineRule="auto"/>
      <w:ind w:firstLine="420"/>
    </w:pPr>
    <w:rPr>
      <w:rFonts w:ascii="宋体" w:hAnsi="宋体" w:cs="宋体"/>
      <w:b w:val="0"/>
      <w:bCs w:val="0"/>
      <w:color w:val="000000"/>
      <w:sz w:val="21"/>
      <w:szCs w:val="20"/>
    </w:rPr>
  </w:style>
  <w:style w:type="paragraph" w:customStyle="1" w:styleId="172">
    <w:name w:val="样式 小标题 + (中文) 宋体 加粗 黑色 段前: 0 磅 段后: 0 磅 行距: 多倍行距 1.25 字行"/>
    <w:basedOn w:val="107"/>
    <w:next w:val="22"/>
    <w:uiPriority w:val="0"/>
    <w:pPr>
      <w:adjustRightInd w:val="0"/>
      <w:spacing w:before="0" w:after="0" w:line="300" w:lineRule="auto"/>
      <w:ind w:firstLine="422" w:firstLineChars="200"/>
      <w:jc w:val="both"/>
      <w:textAlignment w:val="baseline"/>
      <w:outlineLvl w:val="2"/>
    </w:pPr>
    <w:rPr>
      <w:rFonts w:ascii="黑体" w:eastAsia="宋体" w:cs="宋体"/>
      <w:bCs/>
      <w:color w:val="000000"/>
      <w:w w:val="100"/>
      <w:kern w:val="0"/>
    </w:rPr>
  </w:style>
  <w:style w:type="paragraph" w:customStyle="1" w:styleId="173">
    <w:name w:val="样式 小标题 + (中文) 宋体 加粗 黑色 段前: 0 磅 段后: 0 磅 行距: 多倍行距 1.25 字行1"/>
    <w:basedOn w:val="107"/>
    <w:next w:val="53"/>
    <w:uiPriority w:val="0"/>
    <w:pPr>
      <w:adjustRightInd w:val="0"/>
      <w:spacing w:before="0" w:after="0" w:line="300" w:lineRule="auto"/>
      <w:ind w:firstLine="422" w:firstLineChars="200"/>
      <w:jc w:val="both"/>
      <w:textAlignment w:val="baseline"/>
      <w:outlineLvl w:val="2"/>
    </w:pPr>
    <w:rPr>
      <w:rFonts w:ascii="黑体" w:eastAsia="宋体" w:cs="宋体"/>
      <w:bCs/>
      <w:color w:val="000000"/>
      <w:w w:val="100"/>
      <w:kern w:val="0"/>
    </w:rPr>
  </w:style>
  <w:style w:type="paragraph" w:customStyle="1" w:styleId="174">
    <w:name w:val="样式 样式 小标题 + (中文) 宋体 加粗 黑色 段前: 0 磅 段后: 0 磅 行距: 多倍行距 1.25 字行1 + 非加..."/>
    <w:basedOn w:val="173"/>
    <w:next w:val="53"/>
    <w:uiPriority w:val="0"/>
    <w:pPr>
      <w:ind w:firstLine="420"/>
    </w:pPr>
    <w:rPr>
      <w:b w:val="0"/>
      <w:bCs w:val="0"/>
    </w:rPr>
  </w:style>
  <w:style w:type="character" w:customStyle="1" w:styleId="175">
    <w:name w:val="批注主题 字符"/>
    <w:link w:val="51"/>
    <w:uiPriority w:val="0"/>
    <w:rPr>
      <w:b/>
      <w:bCs/>
      <w:kern w:val="2"/>
      <w:sz w:val="21"/>
      <w:szCs w:val="24"/>
    </w:rPr>
  </w:style>
  <w:style w:type="paragraph" w:customStyle="1" w:styleId="176">
    <w:name w:val="前言、引言标题"/>
    <w:next w:val="1"/>
    <w:uiPriority w:val="0"/>
    <w:pPr>
      <w:shd w:val="clear" w:color="FFFFFF" w:fill="FFFFFF"/>
      <w:tabs>
        <w:tab w:val="left" w:pos="360"/>
        <w:tab w:val="left" w:pos="760"/>
      </w:tabs>
      <w:spacing w:before="640" w:after="560"/>
      <w:ind w:left="717" w:hanging="317"/>
      <w:jc w:val="center"/>
      <w:outlineLvl w:val="0"/>
    </w:pPr>
    <w:rPr>
      <w:rFonts w:ascii="黑体" w:hAnsi="Times New Roman" w:eastAsia="黑体" w:cs="Times New Roman"/>
      <w:sz w:val="32"/>
      <w:lang w:val="en-US" w:eastAsia="zh-CN" w:bidi="ar-SA"/>
    </w:rPr>
  </w:style>
  <w:style w:type="paragraph" w:customStyle="1" w:styleId="177">
    <w:name w:val="列项●（二级）"/>
    <w:uiPriority w:val="0"/>
    <w:pPr>
      <w:tabs>
        <w:tab w:val="left" w:pos="360"/>
        <w:tab w:val="left" w:pos="840"/>
      </w:tabs>
      <w:jc w:val="both"/>
    </w:pPr>
    <w:rPr>
      <w:rFonts w:ascii="宋体" w:hAnsi="Times New Roman" w:eastAsia="宋体" w:cs="Times New Roman"/>
      <w:sz w:val="21"/>
      <w:lang w:val="en-US" w:eastAsia="zh-CN" w:bidi="ar-SA"/>
    </w:rPr>
  </w:style>
  <w:style w:type="paragraph" w:customStyle="1" w:styleId="178">
    <w:name w:val="二级条标题"/>
    <w:basedOn w:val="1"/>
    <w:next w:val="1"/>
    <w:uiPriority w:val="0"/>
    <w:pPr>
      <w:widowControl/>
      <w:tabs>
        <w:tab w:val="left" w:pos="1680"/>
      </w:tabs>
      <w:ind w:left="1680" w:hanging="420"/>
      <w:jc w:val="left"/>
      <w:outlineLvl w:val="3"/>
    </w:pPr>
    <w:rPr>
      <w:rFonts w:eastAsia="黑体"/>
      <w:kern w:val="0"/>
      <w:szCs w:val="20"/>
    </w:rPr>
  </w:style>
  <w:style w:type="character" w:customStyle="1" w:styleId="179">
    <w:name w:val="fo Char"/>
    <w:uiPriority w:val="0"/>
    <w:rPr>
      <w:rFonts w:eastAsia="宋体"/>
      <w:kern w:val="2"/>
      <w:sz w:val="18"/>
      <w:szCs w:val="18"/>
      <w:lang w:val="en-US" w:eastAsia="zh-CN" w:bidi="ar-SA"/>
    </w:rPr>
  </w:style>
  <w:style w:type="paragraph" w:styleId="180">
    <w:name w:val="Intense Quote"/>
    <w:basedOn w:val="1"/>
    <w:next w:val="1"/>
    <w:link w:val="181"/>
    <w:qFormat/>
    <w:uiPriority w:val="0"/>
    <w:pPr>
      <w:pBdr>
        <w:bottom w:val="single" w:color="4F81BD" w:sz="4" w:space="4"/>
      </w:pBdr>
      <w:spacing w:before="200" w:after="280"/>
      <w:ind w:left="936" w:right="936"/>
    </w:pPr>
    <w:rPr>
      <w:b/>
      <w:bCs/>
      <w:i/>
      <w:iCs/>
      <w:color w:val="4F81BD"/>
    </w:rPr>
  </w:style>
  <w:style w:type="character" w:customStyle="1" w:styleId="181">
    <w:name w:val="明显引用 字符"/>
    <w:basedOn w:val="58"/>
    <w:link w:val="180"/>
    <w:uiPriority w:val="0"/>
    <w:rPr>
      <w:b/>
      <w:bCs/>
      <w:i/>
      <w:iCs/>
      <w:color w:val="4F81BD"/>
      <w:kern w:val="2"/>
      <w:sz w:val="21"/>
      <w:szCs w:val="24"/>
    </w:rPr>
  </w:style>
  <w:style w:type="character" w:customStyle="1" w:styleId="182">
    <w:name w:val="Char Char3"/>
    <w:locked/>
    <w:uiPriority w:val="0"/>
    <w:rPr>
      <w:rFonts w:ascii="Arial" w:hAnsi="Arial" w:eastAsia="黑体"/>
      <w:b/>
      <w:bCs/>
      <w:kern w:val="2"/>
      <w:sz w:val="32"/>
      <w:szCs w:val="32"/>
      <w:lang w:val="en-US" w:eastAsia="zh-CN" w:bidi="ar-SA"/>
    </w:rPr>
  </w:style>
  <w:style w:type="character" w:customStyle="1" w:styleId="183">
    <w:name w:val="Char Char1"/>
    <w:locked/>
    <w:uiPriority w:val="0"/>
    <w:rPr>
      <w:rFonts w:ascii="宋体" w:hAnsi="宋体" w:eastAsia="宋体"/>
      <w:kern w:val="2"/>
      <w:sz w:val="18"/>
      <w:szCs w:val="18"/>
      <w:lang w:val="en-US" w:eastAsia="zh-CN" w:bidi="ar-SA"/>
    </w:rPr>
  </w:style>
  <w:style w:type="character" w:customStyle="1" w:styleId="184">
    <w:name w:val="文档结构图 字符"/>
    <w:link w:val="17"/>
    <w:semiHidden/>
    <w:locked/>
    <w:uiPriority w:val="0"/>
    <w:rPr>
      <w:kern w:val="2"/>
      <w:sz w:val="21"/>
      <w:szCs w:val="24"/>
      <w:shd w:val="clear" w:color="auto" w:fill="000080"/>
    </w:rPr>
  </w:style>
  <w:style w:type="character" w:customStyle="1" w:styleId="185">
    <w:name w:val="Char Char2"/>
    <w:uiPriority w:val="0"/>
    <w:rPr>
      <w:rFonts w:eastAsia="宋体"/>
      <w:kern w:val="2"/>
      <w:sz w:val="18"/>
      <w:szCs w:val="18"/>
      <w:lang w:val="en-US" w:eastAsia="zh-CN" w:bidi="ar-SA"/>
    </w:rPr>
  </w:style>
  <w:style w:type="paragraph" w:customStyle="1" w:styleId="186">
    <w:name w:val="Char1 Char Char Char Char Char Char Char Char Char Char Char Char"/>
    <w:basedOn w:val="1"/>
    <w:uiPriority w:val="0"/>
    <w:rPr>
      <w:rFonts w:ascii="仿宋_GB2312" w:eastAsia="仿宋_GB2312"/>
      <w:b/>
      <w:sz w:val="32"/>
      <w:szCs w:val="32"/>
    </w:rPr>
  </w:style>
  <w:style w:type="character" w:customStyle="1" w:styleId="187">
    <w:name w:val="Char Char9"/>
    <w:uiPriority w:val="0"/>
    <w:rPr>
      <w:rFonts w:eastAsia="宋体"/>
      <w:b/>
      <w:bCs/>
      <w:kern w:val="2"/>
      <w:sz w:val="24"/>
      <w:szCs w:val="24"/>
      <w:lang w:val="en-US" w:eastAsia="zh-CN" w:bidi="ar-SA"/>
    </w:rPr>
  </w:style>
  <w:style w:type="paragraph" w:customStyle="1" w:styleId="188">
    <w:name w:val="缩进正文"/>
    <w:basedOn w:val="1"/>
    <w:link w:val="189"/>
    <w:uiPriority w:val="0"/>
    <w:pPr>
      <w:ind w:firstLine="560" w:firstLineChars="200"/>
    </w:pPr>
    <w:rPr>
      <w:rFonts w:eastAsia="仿宋_GB2312" w:cs="宋体"/>
      <w:sz w:val="28"/>
      <w:szCs w:val="20"/>
    </w:rPr>
  </w:style>
  <w:style w:type="character" w:customStyle="1" w:styleId="189">
    <w:name w:val="缩进正文 Char"/>
    <w:link w:val="188"/>
    <w:uiPriority w:val="0"/>
    <w:rPr>
      <w:rFonts w:eastAsia="仿宋_GB2312" w:cs="宋体"/>
      <w:kern w:val="2"/>
      <w:sz w:val="28"/>
    </w:rPr>
  </w:style>
  <w:style w:type="paragraph" w:customStyle="1" w:styleId="190">
    <w:name w:val="TOC 标题1"/>
    <w:basedOn w:val="2"/>
    <w:next w:val="1"/>
    <w:qFormat/>
    <w:uiPriority w:val="39"/>
    <w:pPr>
      <w:widowControl/>
      <w:spacing w:before="480" w:after="0" w:line="276" w:lineRule="auto"/>
      <w:jc w:val="left"/>
      <w:outlineLvl w:val="9"/>
    </w:pPr>
    <w:rPr>
      <w:rFonts w:ascii="Cambria" w:hAnsi="Cambria" w:eastAsia="宋体"/>
      <w:bCs/>
      <w:color w:val="365F91"/>
      <w:kern w:val="0"/>
      <w:sz w:val="44"/>
      <w:szCs w:val="28"/>
    </w:rPr>
  </w:style>
  <w:style w:type="paragraph" w:customStyle="1" w:styleId="191">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92">
    <w:name w:val="H2 Char1"/>
    <w:uiPriority w:val="0"/>
    <w:rPr>
      <w:rFonts w:ascii="宋体" w:hAnsi="宋体" w:eastAsia="宋体"/>
      <w:b/>
      <w:bCs/>
      <w:sz w:val="24"/>
      <w:lang w:val="en-US" w:eastAsia="zh-CN" w:bidi="ar-SA"/>
    </w:rPr>
  </w:style>
  <w:style w:type="character" w:customStyle="1" w:styleId="193">
    <w:name w:val="EHPT Char1"/>
    <w:uiPriority w:val="0"/>
    <w:rPr>
      <w:rFonts w:eastAsia="宋体"/>
      <w:b/>
      <w:bCs/>
      <w:kern w:val="2"/>
      <w:sz w:val="24"/>
      <w:szCs w:val="24"/>
      <w:lang w:val="en-US" w:eastAsia="zh-CN" w:bidi="ar-SA"/>
    </w:rPr>
  </w:style>
  <w:style w:type="character" w:customStyle="1" w:styleId="194">
    <w:name w:val="批注框文本 Char"/>
    <w:semiHidden/>
    <w:uiPriority w:val="0"/>
    <w:rPr>
      <w:rFonts w:ascii="Times New Roman" w:hAnsi="Times New Roman"/>
      <w:kern w:val="2"/>
      <w:sz w:val="18"/>
      <w:szCs w:val="18"/>
    </w:rPr>
  </w:style>
  <w:style w:type="character" w:customStyle="1" w:styleId="195">
    <w:name w:val="正文1"/>
    <w:qFormat/>
    <w:uiPriority w:val="0"/>
    <w:rPr>
      <w:rFonts w:hint="eastAsia" w:ascii="宋体" w:hAnsi="宋体" w:eastAsia="宋体"/>
      <w:color w:val="000000"/>
      <w:sz w:val="24"/>
      <w:szCs w:val="24"/>
    </w:rPr>
  </w:style>
  <w:style w:type="paragraph" w:customStyle="1" w:styleId="196">
    <w:name w:val="默认段落字体 Para Char Char Char Char Char Char Char Char Char"/>
    <w:basedOn w:val="1"/>
    <w:uiPriority w:val="0"/>
    <w:rPr>
      <w:rFonts w:ascii="Tahoma" w:hAnsi="Tahoma"/>
      <w:sz w:val="24"/>
      <w:szCs w:val="20"/>
    </w:rPr>
  </w:style>
  <w:style w:type="paragraph" w:customStyle="1" w:styleId="19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8">
    <w:name w:val="修订1"/>
    <w:hidden/>
    <w:semiHidden/>
    <w:uiPriority w:val="99"/>
    <w:rPr>
      <w:rFonts w:ascii="Times New Roman" w:hAnsi="Times New Roman" w:eastAsia="宋体" w:cs="Times New Roman"/>
      <w:kern w:val="2"/>
      <w:sz w:val="21"/>
      <w:szCs w:val="24"/>
      <w:lang w:val="en-US" w:eastAsia="zh-CN" w:bidi="ar-SA"/>
    </w:rPr>
  </w:style>
  <w:style w:type="character" w:customStyle="1" w:styleId="199">
    <w:name w:val="明显强调1"/>
    <w:basedOn w:val="58"/>
    <w:qFormat/>
    <w:uiPriority w:val="21"/>
    <w:rPr>
      <w:i/>
      <w:iCs/>
      <w:color w:val="5B9BD5" w:themeColor="accent1"/>
      <w14:textFill>
        <w14:solidFill>
          <w14:schemeClr w14:val="accent1"/>
        </w14:solidFill>
      </w14:textFill>
    </w:rPr>
  </w:style>
  <w:style w:type="character" w:customStyle="1" w:styleId="200">
    <w:name w:val="font31"/>
    <w:basedOn w:val="5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75785C-4F53-4BAD-A973-9DF1CD6FB3EC}">
  <ds:schemaRefs/>
</ds:datastoreItem>
</file>

<file path=docProps/app.xml><?xml version="1.0" encoding="utf-8"?>
<Properties xmlns="http://schemas.openxmlformats.org/officeDocument/2006/extended-properties" xmlns:vt="http://schemas.openxmlformats.org/officeDocument/2006/docPropsVTypes">
  <Template>Normal.dotm</Template>
  <Company>深圳市清华斯维尔软件科技有限公司</Company>
  <Pages>1</Pages>
  <Words>5437</Words>
  <Characters>30996</Characters>
  <Lines>258</Lines>
  <Paragraphs>72</Paragraphs>
  <TotalTime>0</TotalTime>
  <ScaleCrop>false</ScaleCrop>
  <LinksUpToDate>false</LinksUpToDate>
  <CharactersWithSpaces>36361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2018-03-08T08:55:00Z</dcterms:created>
  <dc:creator>thsware</dc:creator>
  <cp:lastModifiedBy>梁瑞怡</cp:lastModifiedBy>
  <cp:lastPrinted>2015-02-16T02:37:00Z</cp:lastPrinted>
  <dcterms:modified xsi:type="dcterms:W3CDTF">2020-11-30T00:05:14Z</dcterms:modified>
  <dc:title>招  标　文　件</dc:title>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